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C1FF2" w14:textId="3AF9FE5D" w:rsidR="00FF6150" w:rsidRDefault="000B125B" w:rsidP="00FF6150">
      <w:pPr>
        <w:pStyle w:val="Caption"/>
        <w:rPr>
          <w:sz w:val="24"/>
          <w:szCs w:val="24"/>
        </w:rPr>
      </w:pPr>
      <w:r>
        <w:rPr>
          <w:sz w:val="24"/>
          <w:szCs w:val="24"/>
        </w:rPr>
        <w:t xml:space="preserve">PROPOSED LAND USE CHANGES SUMMARY </w:t>
      </w:r>
      <w:r w:rsidR="005A0FB4">
        <w:rPr>
          <w:sz w:val="24"/>
          <w:szCs w:val="24"/>
        </w:rPr>
        <w:t xml:space="preserve">RESPONSE </w:t>
      </w:r>
      <w:r>
        <w:rPr>
          <w:sz w:val="24"/>
          <w:szCs w:val="24"/>
        </w:rPr>
        <w:t>TABLE</w:t>
      </w:r>
    </w:p>
    <w:p w14:paraId="5F4582B4" w14:textId="11A12B93" w:rsidR="00055318" w:rsidRDefault="00055318" w:rsidP="00055318">
      <w:r>
        <w:t xml:space="preserve">This table contains the results of the </w:t>
      </w:r>
      <w:proofErr w:type="gramStart"/>
      <w:r>
        <w:t>High Level</w:t>
      </w:r>
      <w:proofErr w:type="gramEnd"/>
      <w:r>
        <w:t xml:space="preserve"> Feedback Form and the Detailed Feedback Form for each Area of Discussion. The following key applies to the level of agreement of the responses gathered from the public with the land use changes proposed by the GPAC</w:t>
      </w:r>
      <w:r w:rsidR="00D75F66">
        <w:t xml:space="preserve">. It also includes the Planning Commissions recommendations </w:t>
      </w:r>
      <w:r w:rsidR="00015E29">
        <w:t xml:space="preserve">in comparison to the GPAC </w:t>
      </w:r>
      <w:r w:rsidR="00BF4207">
        <w:t xml:space="preserve">recommendation and the public feedback. </w:t>
      </w:r>
    </w:p>
    <w:p w14:paraId="32CD2A84" w14:textId="77777777" w:rsidR="006E730E" w:rsidRPr="006E730E" w:rsidRDefault="006E730E" w:rsidP="006E730E">
      <w:r w:rsidRPr="006E730E">
        <w:rPr>
          <w:shd w:val="clear" w:color="auto" w:fill="E2EFD9" w:themeFill="accent6" w:themeFillTint="33"/>
        </w:rPr>
        <w:t>Green</w:t>
      </w:r>
      <w:r>
        <w:t xml:space="preserve"> = </w:t>
      </w:r>
      <w:r w:rsidRPr="006E730E">
        <w:t>60%-plus agreement between GPAC and public</w:t>
      </w:r>
    </w:p>
    <w:p w14:paraId="03E4CF91" w14:textId="77777777" w:rsidR="006E730E" w:rsidRPr="006E730E" w:rsidRDefault="006E730E" w:rsidP="006E730E">
      <w:r w:rsidRPr="006E730E">
        <w:rPr>
          <w:shd w:val="clear" w:color="auto" w:fill="FFFF99"/>
        </w:rPr>
        <w:t>Yellow</w:t>
      </w:r>
      <w:r w:rsidRPr="006E730E">
        <w:t xml:space="preserve"> = Majority agreement </w:t>
      </w:r>
      <w:proofErr w:type="gramStart"/>
      <w:r w:rsidRPr="006E730E">
        <w:t>( more</w:t>
      </w:r>
      <w:proofErr w:type="gramEnd"/>
      <w:r w:rsidRPr="006E730E">
        <w:t xml:space="preserve"> “agree” than “disagree” by at least 10 percentage points or up to 60% of public agreeing with)</w:t>
      </w:r>
    </w:p>
    <w:p w14:paraId="03B26F14" w14:textId="55C6405E" w:rsidR="00471E5F" w:rsidRDefault="006E730E">
      <w:r w:rsidRPr="006E730E">
        <w:rPr>
          <w:shd w:val="clear" w:color="auto" w:fill="F7A09B"/>
        </w:rPr>
        <w:t>Red</w:t>
      </w:r>
      <w:r w:rsidRPr="006E730E">
        <w:t xml:space="preserve"> = discrepancy between GPAC and public input</w:t>
      </w:r>
    </w:p>
    <w:tbl>
      <w:tblPr>
        <w:tblStyle w:val="TableGrid"/>
        <w:tblW w:w="13157" w:type="dxa"/>
        <w:tblLook w:val="04A0" w:firstRow="1" w:lastRow="0" w:firstColumn="1" w:lastColumn="0" w:noHBand="0" w:noVBand="1"/>
      </w:tblPr>
      <w:tblGrid>
        <w:gridCol w:w="2785"/>
        <w:gridCol w:w="5220"/>
        <w:gridCol w:w="2340"/>
        <w:gridCol w:w="2785"/>
        <w:gridCol w:w="27"/>
      </w:tblGrid>
      <w:tr w:rsidR="00471E5F" w14:paraId="6A306DE0" w14:textId="77777777" w:rsidTr="720B1966">
        <w:trPr>
          <w:gridAfter w:val="1"/>
          <w:wAfter w:w="27" w:type="dxa"/>
          <w:tblHeader/>
        </w:trPr>
        <w:tc>
          <w:tcPr>
            <w:tcW w:w="2785" w:type="dxa"/>
            <w:shd w:val="clear" w:color="auto" w:fill="00619E"/>
          </w:tcPr>
          <w:p w14:paraId="248C6C23" w14:textId="3CB398A4" w:rsidR="00471E5F" w:rsidRPr="000D2036" w:rsidRDefault="00FF6150" w:rsidP="00FF6150">
            <w:pPr>
              <w:jc w:val="center"/>
              <w:rPr>
                <w:b/>
                <w:bCs/>
                <w:color w:val="FFFFFF" w:themeColor="background1"/>
              </w:rPr>
            </w:pPr>
            <w:r w:rsidRPr="000D2036">
              <w:rPr>
                <w:b/>
                <w:bCs/>
                <w:color w:val="FFFFFF" w:themeColor="background1"/>
              </w:rPr>
              <w:t>Area</w:t>
            </w:r>
          </w:p>
        </w:tc>
        <w:tc>
          <w:tcPr>
            <w:tcW w:w="5220" w:type="dxa"/>
            <w:shd w:val="clear" w:color="auto" w:fill="00619E"/>
          </w:tcPr>
          <w:p w14:paraId="7126A282" w14:textId="248A0C22" w:rsidR="00471E5F" w:rsidRPr="000D2036" w:rsidRDefault="00DB2DED" w:rsidP="00FF6150">
            <w:pPr>
              <w:jc w:val="center"/>
              <w:rPr>
                <w:b/>
                <w:bCs/>
                <w:color w:val="FFFFFF" w:themeColor="background1"/>
              </w:rPr>
            </w:pPr>
            <w:r>
              <w:rPr>
                <w:b/>
                <w:bCs/>
                <w:color w:val="FFFFFF" w:themeColor="background1"/>
              </w:rPr>
              <w:t xml:space="preserve">GPAC </w:t>
            </w:r>
            <w:r w:rsidR="00471E5F" w:rsidRPr="000D2036">
              <w:rPr>
                <w:b/>
                <w:bCs/>
                <w:color w:val="FFFFFF" w:themeColor="background1"/>
              </w:rPr>
              <w:t xml:space="preserve">Proposed </w:t>
            </w:r>
            <w:r w:rsidR="00A42A6D">
              <w:rPr>
                <w:b/>
                <w:bCs/>
                <w:color w:val="FFFFFF" w:themeColor="background1"/>
              </w:rPr>
              <w:t>Land Use Changes</w:t>
            </w:r>
          </w:p>
        </w:tc>
        <w:tc>
          <w:tcPr>
            <w:tcW w:w="2340" w:type="dxa"/>
            <w:shd w:val="clear" w:color="auto" w:fill="00619E"/>
          </w:tcPr>
          <w:p w14:paraId="3A1D4711" w14:textId="6F678590" w:rsidR="00471E5F" w:rsidRPr="000D2036" w:rsidRDefault="00471E5F" w:rsidP="00FF6150">
            <w:pPr>
              <w:jc w:val="center"/>
              <w:rPr>
                <w:b/>
                <w:bCs/>
                <w:color w:val="FFFFFF" w:themeColor="background1"/>
              </w:rPr>
            </w:pPr>
            <w:r w:rsidRPr="000D2036">
              <w:rPr>
                <w:b/>
                <w:bCs/>
                <w:color w:val="FFFFFF" w:themeColor="background1"/>
              </w:rPr>
              <w:t>Public Response</w:t>
            </w:r>
            <w:r w:rsidR="00DB2DED">
              <w:rPr>
                <w:b/>
                <w:bCs/>
                <w:color w:val="FFFFFF" w:themeColor="background1"/>
              </w:rPr>
              <w:t xml:space="preserve"> in Feedback Forms</w:t>
            </w:r>
          </w:p>
        </w:tc>
        <w:tc>
          <w:tcPr>
            <w:tcW w:w="2785" w:type="dxa"/>
            <w:shd w:val="clear" w:color="auto" w:fill="00619E"/>
          </w:tcPr>
          <w:p w14:paraId="5AC3CA05" w14:textId="77777777" w:rsidR="00471E5F" w:rsidRDefault="00471E5F" w:rsidP="00FF6150">
            <w:pPr>
              <w:jc w:val="center"/>
              <w:rPr>
                <w:b/>
                <w:bCs/>
                <w:color w:val="FFFFFF" w:themeColor="background1"/>
              </w:rPr>
            </w:pPr>
            <w:r w:rsidRPr="720B1966">
              <w:rPr>
                <w:b/>
                <w:bCs/>
                <w:color w:val="FFFFFF" w:themeColor="background1"/>
              </w:rPr>
              <w:t>Planning Commission</w:t>
            </w:r>
            <w:r w:rsidR="77ABC5BC" w:rsidRPr="720B1966">
              <w:rPr>
                <w:b/>
                <w:bCs/>
                <w:color w:val="FFFFFF" w:themeColor="background1"/>
              </w:rPr>
              <w:t xml:space="preserve"> (PC)</w:t>
            </w:r>
          </w:p>
          <w:p w14:paraId="103C348A" w14:textId="2FAB282F" w:rsidR="00736E87" w:rsidRPr="000D2036" w:rsidRDefault="00736E87" w:rsidP="00FF6150">
            <w:pPr>
              <w:jc w:val="center"/>
              <w:rPr>
                <w:b/>
                <w:bCs/>
                <w:color w:val="FFFFFF" w:themeColor="background1"/>
              </w:rPr>
            </w:pPr>
            <w:r>
              <w:rPr>
                <w:b/>
                <w:bCs/>
                <w:color w:val="FFFFFF" w:themeColor="background1"/>
              </w:rPr>
              <w:t>Recommendation</w:t>
            </w:r>
          </w:p>
        </w:tc>
      </w:tr>
      <w:tr w:rsidR="00FF6150" w14:paraId="3B2D1692" w14:textId="77777777" w:rsidTr="720B1966">
        <w:tc>
          <w:tcPr>
            <w:tcW w:w="13157" w:type="dxa"/>
            <w:gridSpan w:val="5"/>
            <w:shd w:val="clear" w:color="auto" w:fill="D9D9D9" w:themeFill="background1" w:themeFillShade="D9"/>
          </w:tcPr>
          <w:p w14:paraId="401D32A7" w14:textId="734441E0" w:rsidR="00FF6150" w:rsidRPr="007426D3" w:rsidRDefault="00FF6150">
            <w:pPr>
              <w:rPr>
                <w:b/>
                <w:bCs/>
                <w:i/>
                <w:iCs/>
              </w:rPr>
            </w:pPr>
            <w:r w:rsidRPr="007426D3">
              <w:rPr>
                <w:b/>
                <w:bCs/>
                <w:i/>
                <w:iCs/>
              </w:rPr>
              <w:t>SOAR</w:t>
            </w:r>
          </w:p>
        </w:tc>
      </w:tr>
      <w:tr w:rsidR="00FF6150" w14:paraId="1A2F7869" w14:textId="77777777" w:rsidTr="720B1966">
        <w:trPr>
          <w:gridAfter w:val="1"/>
          <w:wAfter w:w="27" w:type="dxa"/>
        </w:trPr>
        <w:tc>
          <w:tcPr>
            <w:tcW w:w="2785" w:type="dxa"/>
          </w:tcPr>
          <w:p w14:paraId="68723B4B" w14:textId="77FB2505" w:rsidR="00FF6150" w:rsidRPr="00FF6150" w:rsidRDefault="00FF6150">
            <w:r w:rsidRPr="00FF6150">
              <w:t>High Level Direction</w:t>
            </w:r>
          </w:p>
        </w:tc>
        <w:tc>
          <w:tcPr>
            <w:tcW w:w="5220" w:type="dxa"/>
          </w:tcPr>
          <w:p w14:paraId="01599ED1" w14:textId="6AF253D1" w:rsidR="00FF6150" w:rsidRPr="00FF6150" w:rsidRDefault="00FF6150">
            <w:r w:rsidRPr="00FF6150">
              <w:t xml:space="preserve">The </w:t>
            </w:r>
            <w:proofErr w:type="gramStart"/>
            <w:r w:rsidRPr="00FF6150">
              <w:t>City</w:t>
            </w:r>
            <w:proofErr w:type="gramEnd"/>
            <w:r w:rsidRPr="00FF6150">
              <w:t xml:space="preserve"> should maintain the existing SOAR areas inside</w:t>
            </w:r>
            <w:r>
              <w:t xml:space="preserve"> </w:t>
            </w:r>
            <w:r w:rsidRPr="00FF6150">
              <w:t>and outside the City limits as</w:t>
            </w:r>
            <w:r>
              <w:t xml:space="preserve"> </w:t>
            </w:r>
            <w:r w:rsidRPr="00FF6150">
              <w:t>agriculture and open space until the SOAR</w:t>
            </w:r>
            <w:r>
              <w:t xml:space="preserve"> </w:t>
            </w:r>
            <w:r w:rsidRPr="00FF6150">
              <w:t>initiative expires in 2045. These areas should not be included as potential</w:t>
            </w:r>
            <w:r>
              <w:t xml:space="preserve"> </w:t>
            </w:r>
            <w:r w:rsidRPr="00FF6150">
              <w:t>development areas in the General Plan.</w:t>
            </w:r>
          </w:p>
        </w:tc>
        <w:tc>
          <w:tcPr>
            <w:tcW w:w="2340" w:type="dxa"/>
            <w:shd w:val="clear" w:color="auto" w:fill="E2EFD9" w:themeFill="accent6" w:themeFillTint="33"/>
          </w:tcPr>
          <w:p w14:paraId="662E60FC" w14:textId="64A8540B" w:rsidR="00FF6150" w:rsidRPr="00FF6150" w:rsidRDefault="00FF6150">
            <w:r>
              <w:t>86.48%</w:t>
            </w:r>
          </w:p>
        </w:tc>
        <w:tc>
          <w:tcPr>
            <w:tcW w:w="2785" w:type="dxa"/>
            <w:vMerge w:val="restart"/>
          </w:tcPr>
          <w:p w14:paraId="4DA4DF45" w14:textId="727759EC" w:rsidR="00FF6150" w:rsidRPr="00FF6150" w:rsidRDefault="283FE977">
            <w:r>
              <w:t>PC agreed</w:t>
            </w:r>
            <w:r w:rsidR="2D7B3F0A">
              <w:t xml:space="preserve"> with GPAC recommendation (7-0).</w:t>
            </w:r>
          </w:p>
          <w:p w14:paraId="60C3E092" w14:textId="251FD6AA" w:rsidR="00FF6150" w:rsidRPr="00FF6150" w:rsidRDefault="00FF6150" w:rsidP="720B1966"/>
          <w:p w14:paraId="1C4B9212" w14:textId="592AF5F8" w:rsidR="00FF6150" w:rsidRPr="00FF6150" w:rsidRDefault="00FF6150" w:rsidP="720B1966"/>
        </w:tc>
      </w:tr>
      <w:tr w:rsidR="00FF6150" w14:paraId="091FE761" w14:textId="77777777" w:rsidTr="720B1966">
        <w:trPr>
          <w:gridAfter w:val="1"/>
          <w:wAfter w:w="27" w:type="dxa"/>
        </w:trPr>
        <w:tc>
          <w:tcPr>
            <w:tcW w:w="2785" w:type="dxa"/>
          </w:tcPr>
          <w:p w14:paraId="44FEDE3B" w14:textId="6F731017" w:rsidR="00FF6150" w:rsidRPr="00FF6150" w:rsidRDefault="005D44CF" w:rsidP="00FF6150">
            <w:r>
              <w:t>Detailed Direction</w:t>
            </w:r>
          </w:p>
        </w:tc>
        <w:tc>
          <w:tcPr>
            <w:tcW w:w="5220" w:type="dxa"/>
          </w:tcPr>
          <w:p w14:paraId="00A049F1" w14:textId="6890BC63" w:rsidR="00FF6150" w:rsidRPr="00FF6150" w:rsidRDefault="005D44CF">
            <w:r>
              <w:t>1. No land use changes are proposed for this area.</w:t>
            </w:r>
          </w:p>
        </w:tc>
        <w:tc>
          <w:tcPr>
            <w:tcW w:w="2340" w:type="dxa"/>
            <w:shd w:val="clear" w:color="auto" w:fill="E2EFD9" w:themeFill="accent6" w:themeFillTint="33"/>
          </w:tcPr>
          <w:p w14:paraId="20414120" w14:textId="0EBB2BAE" w:rsidR="00FF6150" w:rsidRPr="00FF6150" w:rsidRDefault="005D44CF">
            <w:r>
              <w:t>73.86%</w:t>
            </w:r>
          </w:p>
        </w:tc>
        <w:tc>
          <w:tcPr>
            <w:tcW w:w="2785" w:type="dxa"/>
            <w:vMerge/>
          </w:tcPr>
          <w:p w14:paraId="026C204D" w14:textId="77777777" w:rsidR="00FF6150" w:rsidRPr="00FF6150" w:rsidRDefault="00FF6150"/>
        </w:tc>
      </w:tr>
      <w:tr w:rsidR="005D44CF" w14:paraId="6C6B149D" w14:textId="77777777" w:rsidTr="720B1966">
        <w:tc>
          <w:tcPr>
            <w:tcW w:w="13157" w:type="dxa"/>
            <w:gridSpan w:val="5"/>
            <w:shd w:val="clear" w:color="auto" w:fill="D9D9D9" w:themeFill="background1" w:themeFillShade="D9"/>
          </w:tcPr>
          <w:p w14:paraId="078AA1BA" w14:textId="3E7A0487" w:rsidR="005D44CF" w:rsidRPr="007426D3" w:rsidRDefault="005D44CF">
            <w:pPr>
              <w:rPr>
                <w:b/>
                <w:bCs/>
                <w:i/>
                <w:iCs/>
              </w:rPr>
            </w:pPr>
            <w:r w:rsidRPr="007426D3">
              <w:rPr>
                <w:b/>
                <w:bCs/>
                <w:i/>
                <w:iCs/>
              </w:rPr>
              <w:t>Downtown</w:t>
            </w:r>
          </w:p>
        </w:tc>
      </w:tr>
      <w:tr w:rsidR="00FF6150" w14:paraId="7CAC3658" w14:textId="77777777" w:rsidTr="720B1966">
        <w:trPr>
          <w:gridAfter w:val="1"/>
          <w:wAfter w:w="27" w:type="dxa"/>
        </w:trPr>
        <w:tc>
          <w:tcPr>
            <w:tcW w:w="2785" w:type="dxa"/>
          </w:tcPr>
          <w:p w14:paraId="141AA15B" w14:textId="034DB24F" w:rsidR="00FF6150" w:rsidRPr="00FF6150" w:rsidRDefault="005D44CF">
            <w:r>
              <w:t>High Level Direction</w:t>
            </w:r>
          </w:p>
        </w:tc>
        <w:tc>
          <w:tcPr>
            <w:tcW w:w="5220" w:type="dxa"/>
          </w:tcPr>
          <w:p w14:paraId="5CACCDFD" w14:textId="2A837AF3" w:rsidR="00FF6150" w:rsidRPr="00FF6150" w:rsidRDefault="005D44CF">
            <w:r w:rsidRPr="005D44CF">
              <w:t>The Downtown is the City’s “authentic heart</w:t>
            </w:r>
            <w:r>
              <w:t>.</w:t>
            </w:r>
            <w:r w:rsidRPr="005D44CF">
              <w:t>” A hotspot for</w:t>
            </w:r>
            <w:r>
              <w:t xml:space="preserve"> </w:t>
            </w:r>
            <w:r w:rsidRPr="005D44CF">
              <w:t>civic and artistic life, the Downtown is a diverse mix of retail, office, and</w:t>
            </w:r>
            <w:r>
              <w:t xml:space="preserve"> </w:t>
            </w:r>
            <w:r w:rsidRPr="005D44CF">
              <w:t>residential uses. The General Plan should continue this vision (which is</w:t>
            </w:r>
            <w:r>
              <w:t xml:space="preserve"> </w:t>
            </w:r>
            <w:r w:rsidRPr="005D44CF">
              <w:t>established in the 2007 Downtown Specific Plan) and generally keep the</w:t>
            </w:r>
            <w:r>
              <w:t xml:space="preserve"> </w:t>
            </w:r>
            <w:r w:rsidRPr="005D44CF">
              <w:t>residential densities, building heights, and design standards in the Specific</w:t>
            </w:r>
            <w:r>
              <w:t xml:space="preserve"> </w:t>
            </w:r>
            <w:r w:rsidRPr="005D44CF">
              <w:t>Plan.</w:t>
            </w:r>
          </w:p>
        </w:tc>
        <w:tc>
          <w:tcPr>
            <w:tcW w:w="2340" w:type="dxa"/>
            <w:shd w:val="clear" w:color="auto" w:fill="E2EFD9" w:themeFill="accent6" w:themeFillTint="33"/>
          </w:tcPr>
          <w:p w14:paraId="39C7E23E" w14:textId="6519339D" w:rsidR="005D44CF" w:rsidRDefault="005D44CF" w:rsidP="005D44CF">
            <w:r>
              <w:t>87.02%</w:t>
            </w:r>
          </w:p>
          <w:p w14:paraId="47A77A36" w14:textId="77777777" w:rsidR="005D44CF" w:rsidRDefault="005D44CF" w:rsidP="005D44CF"/>
          <w:p w14:paraId="6C674A02" w14:textId="77777777" w:rsidR="005D44CF" w:rsidRPr="005D44CF" w:rsidRDefault="005D44CF" w:rsidP="005D44CF">
            <w:pPr>
              <w:jc w:val="center"/>
            </w:pPr>
          </w:p>
        </w:tc>
        <w:tc>
          <w:tcPr>
            <w:tcW w:w="2785" w:type="dxa"/>
            <w:vMerge w:val="restart"/>
          </w:tcPr>
          <w:p w14:paraId="34D58F01" w14:textId="11E93592" w:rsidR="00FF6150" w:rsidRPr="00FF6150" w:rsidRDefault="21E16371">
            <w:r>
              <w:t>PC agreed with the GPAC recommendation for Area 1, the Mission Plaza Shopping Center (7-0) and added a motion to keep all parks and open space along the waterfront. (Note tha</w:t>
            </w:r>
            <w:r w:rsidR="165D58C0">
              <w:t>t the map incorrectly shows some open space as CTO)</w:t>
            </w:r>
          </w:p>
          <w:p w14:paraId="0BEDC09D" w14:textId="775A7E8E" w:rsidR="00FF6150" w:rsidRPr="00FF6150" w:rsidRDefault="00FF6150" w:rsidP="720B1966"/>
          <w:p w14:paraId="518F2C88" w14:textId="547A7ED1" w:rsidR="00FF6150" w:rsidRPr="00FF6150" w:rsidRDefault="0CDE262E" w:rsidP="720B1966">
            <w:r>
              <w:t>PC added recommendations to prioritize the improvement to the Oak Street offramp and to continue to try to cap the freeway.</w:t>
            </w:r>
          </w:p>
        </w:tc>
      </w:tr>
      <w:tr w:rsidR="005D44CF" w14:paraId="768E7B60" w14:textId="77777777" w:rsidTr="720B1966">
        <w:trPr>
          <w:gridAfter w:val="1"/>
          <w:wAfter w:w="27" w:type="dxa"/>
        </w:trPr>
        <w:tc>
          <w:tcPr>
            <w:tcW w:w="2785" w:type="dxa"/>
          </w:tcPr>
          <w:p w14:paraId="0C232CF9" w14:textId="505EEC9F" w:rsidR="005D44CF" w:rsidRDefault="005D44CF">
            <w:r>
              <w:t>Detailed Direction</w:t>
            </w:r>
          </w:p>
        </w:tc>
        <w:tc>
          <w:tcPr>
            <w:tcW w:w="5220" w:type="dxa"/>
          </w:tcPr>
          <w:p w14:paraId="3C8102EE" w14:textId="7E15E157" w:rsidR="005D44CF" w:rsidRDefault="005D44CF">
            <w:r w:rsidRPr="005D44CF">
              <w:t>The Downtown Specific Plan limits the amount the top floor of a</w:t>
            </w:r>
            <w:r>
              <w:t xml:space="preserve"> </w:t>
            </w:r>
            <w:r w:rsidRPr="005D44CF">
              <w:t>building can be built to between 15% to 40% of the building area. Should</w:t>
            </w:r>
            <w:r>
              <w:t xml:space="preserve"> </w:t>
            </w:r>
            <w:r w:rsidRPr="005D44CF">
              <w:t>the top floor building ratios be maintained, or should the General Plan</w:t>
            </w:r>
            <w:r>
              <w:t xml:space="preserve"> </w:t>
            </w:r>
            <w:r w:rsidRPr="005D44CF">
              <w:t>dictate the top floor building ratios?</w:t>
            </w:r>
          </w:p>
        </w:tc>
        <w:tc>
          <w:tcPr>
            <w:tcW w:w="2340" w:type="dxa"/>
            <w:shd w:val="clear" w:color="auto" w:fill="E2EFD9" w:themeFill="accent6" w:themeFillTint="33"/>
          </w:tcPr>
          <w:p w14:paraId="2AEA2280" w14:textId="1B7C7338" w:rsidR="005D44CF" w:rsidRDefault="005D44CF">
            <w:r>
              <w:t>80.44% - Maintain top floor ratios.</w:t>
            </w:r>
          </w:p>
          <w:p w14:paraId="3C5A4053" w14:textId="717BE5BD" w:rsidR="005D44CF" w:rsidRDefault="005D44CF"/>
        </w:tc>
        <w:tc>
          <w:tcPr>
            <w:tcW w:w="2785" w:type="dxa"/>
            <w:vMerge/>
          </w:tcPr>
          <w:p w14:paraId="6D627E26" w14:textId="77777777" w:rsidR="005D44CF" w:rsidRPr="00FF6150" w:rsidRDefault="005D44CF"/>
        </w:tc>
      </w:tr>
      <w:tr w:rsidR="00FF6150" w14:paraId="07E11A9C" w14:textId="77777777" w:rsidTr="720B1966">
        <w:trPr>
          <w:gridAfter w:val="1"/>
          <w:wAfter w:w="27" w:type="dxa"/>
        </w:trPr>
        <w:tc>
          <w:tcPr>
            <w:tcW w:w="2785" w:type="dxa"/>
          </w:tcPr>
          <w:p w14:paraId="5D4345BF" w14:textId="2C229887" w:rsidR="00FF6150" w:rsidRPr="00FF6150" w:rsidRDefault="005D44CF">
            <w:r>
              <w:t>1. Vons (Mission Plaza Shopping Center)</w:t>
            </w:r>
          </w:p>
        </w:tc>
        <w:tc>
          <w:tcPr>
            <w:tcW w:w="5220" w:type="dxa"/>
          </w:tcPr>
          <w:p w14:paraId="78D79A7B" w14:textId="3E49C863" w:rsidR="00FF6150" w:rsidRPr="00FF6150" w:rsidRDefault="005D44CF">
            <w:r>
              <w:t>Change to Neighborhood Center (4 stories) from Mixed Use 4 (4 stories).</w:t>
            </w:r>
          </w:p>
        </w:tc>
        <w:tc>
          <w:tcPr>
            <w:tcW w:w="2340" w:type="dxa"/>
            <w:shd w:val="clear" w:color="auto" w:fill="FFFF99"/>
          </w:tcPr>
          <w:p w14:paraId="024E68AF" w14:textId="65419D58" w:rsidR="00FF6150" w:rsidRPr="00FF6150" w:rsidRDefault="005D44CF">
            <w:r>
              <w:t>58.93%</w:t>
            </w:r>
          </w:p>
        </w:tc>
        <w:tc>
          <w:tcPr>
            <w:tcW w:w="2785" w:type="dxa"/>
            <w:vMerge/>
          </w:tcPr>
          <w:p w14:paraId="1512A8C4" w14:textId="77777777" w:rsidR="00FF6150" w:rsidRPr="00FF6150" w:rsidRDefault="00FF6150"/>
        </w:tc>
      </w:tr>
      <w:tr w:rsidR="00FF6150" w14:paraId="2FE12E1F" w14:textId="77777777" w:rsidTr="720B1966">
        <w:tc>
          <w:tcPr>
            <w:tcW w:w="13157" w:type="dxa"/>
            <w:gridSpan w:val="5"/>
            <w:shd w:val="clear" w:color="auto" w:fill="D9D9D9" w:themeFill="background1" w:themeFillShade="D9"/>
          </w:tcPr>
          <w:p w14:paraId="38928E50" w14:textId="2B5D3087" w:rsidR="00FF6150" w:rsidRDefault="00FF6150">
            <w:r w:rsidRPr="007426D3">
              <w:rPr>
                <w:b/>
                <w:bCs/>
                <w:i/>
                <w:iCs/>
              </w:rPr>
              <w:t>Westside</w:t>
            </w:r>
          </w:p>
        </w:tc>
      </w:tr>
      <w:tr w:rsidR="00AC3D4E" w14:paraId="037E6310" w14:textId="77777777" w:rsidTr="720B1966">
        <w:trPr>
          <w:gridAfter w:val="1"/>
          <w:wAfter w:w="27" w:type="dxa"/>
        </w:trPr>
        <w:tc>
          <w:tcPr>
            <w:tcW w:w="2785" w:type="dxa"/>
          </w:tcPr>
          <w:p w14:paraId="01EECC72" w14:textId="70F8BBE0" w:rsidR="00AC3D4E" w:rsidRDefault="00AC3D4E">
            <w:r>
              <w:t>High Level Direction</w:t>
            </w:r>
          </w:p>
        </w:tc>
        <w:tc>
          <w:tcPr>
            <w:tcW w:w="5220" w:type="dxa"/>
            <w:shd w:val="clear" w:color="auto" w:fill="FFFFFF" w:themeFill="background1"/>
          </w:tcPr>
          <w:p w14:paraId="4125ED48" w14:textId="739AD210" w:rsidR="00AC3D4E" w:rsidRPr="005D44CF" w:rsidRDefault="00AC3D4E">
            <w:r w:rsidRPr="00AC3D4E">
              <w:t>The Westside should keep its diverse mix of employment, retail, housing, and public uses and strive to remain an eclectic, working class neighborhood. To achieve this, the General Plan reduces the building heights from 6 stories to 3 stories on Ventura and Olive Avenues. The General Plan also preserves the diversity of industrial businesses and promotes affordable housing by allowing residential uses on several properties owned by the school district. This approach decreases residential development capacity on the Westside.</w:t>
            </w:r>
          </w:p>
        </w:tc>
        <w:tc>
          <w:tcPr>
            <w:tcW w:w="2340" w:type="dxa"/>
            <w:shd w:val="clear" w:color="auto" w:fill="E2EFD9" w:themeFill="accent6" w:themeFillTint="33"/>
          </w:tcPr>
          <w:p w14:paraId="670CC204" w14:textId="307624F7" w:rsidR="00AC3D4E" w:rsidRDefault="00AC3D4E">
            <w:r>
              <w:t>77.97%</w:t>
            </w:r>
          </w:p>
        </w:tc>
        <w:tc>
          <w:tcPr>
            <w:tcW w:w="2785" w:type="dxa"/>
            <w:vMerge w:val="restart"/>
          </w:tcPr>
          <w:p w14:paraId="6F7C02A5" w14:textId="1D3107DA" w:rsidR="00AC3D4E" w:rsidRDefault="5E49906B">
            <w:r>
              <w:t>PC agreed with the GPAC direction for all areas (Areas 1-8) and added that all General Industrial</w:t>
            </w:r>
            <w:r w:rsidR="3405B99D">
              <w:t xml:space="preserve"> 3-story</w:t>
            </w:r>
            <w:r>
              <w:t xml:space="preserve"> </w:t>
            </w:r>
            <w:r w:rsidR="5C16544E">
              <w:t>parcels should be changed to Ligh</w:t>
            </w:r>
            <w:r w:rsidR="13D1A99C">
              <w:t>t Industrial/Flex 3-story</w:t>
            </w:r>
            <w:r w:rsidR="006D10FD">
              <w:t xml:space="preserve"> (7-0)</w:t>
            </w:r>
            <w:r w:rsidR="13D1A99C">
              <w:t>.</w:t>
            </w:r>
          </w:p>
        </w:tc>
      </w:tr>
      <w:tr w:rsidR="00471E5F" w14:paraId="27585B75" w14:textId="77777777" w:rsidTr="720B1966">
        <w:trPr>
          <w:gridAfter w:val="1"/>
          <w:wAfter w:w="27" w:type="dxa"/>
        </w:trPr>
        <w:tc>
          <w:tcPr>
            <w:tcW w:w="2785" w:type="dxa"/>
          </w:tcPr>
          <w:p w14:paraId="6CB3286F" w14:textId="20084FB7" w:rsidR="00471E5F" w:rsidRDefault="00471E5F">
            <w:r>
              <w:t>1. Ventura Avenue South of Stanley</w:t>
            </w:r>
          </w:p>
        </w:tc>
        <w:tc>
          <w:tcPr>
            <w:tcW w:w="5220" w:type="dxa"/>
            <w:shd w:val="clear" w:color="auto" w:fill="FFFFFF" w:themeFill="background1"/>
          </w:tcPr>
          <w:p w14:paraId="3AD85414" w14:textId="5B2CCBEC" w:rsidR="00471E5F" w:rsidRDefault="005D44CF">
            <w:r w:rsidRPr="005D44CF">
              <w:t>Change to Mixed Use 3 (3 Stories) from Mixed Use 6 (6 stories); maintain Light Industrial/Flex</w:t>
            </w:r>
          </w:p>
        </w:tc>
        <w:tc>
          <w:tcPr>
            <w:tcW w:w="2340" w:type="dxa"/>
            <w:shd w:val="clear" w:color="auto" w:fill="E2EFD9" w:themeFill="accent6" w:themeFillTint="33"/>
          </w:tcPr>
          <w:p w14:paraId="30232DF9" w14:textId="23DB257C" w:rsidR="00471E5F" w:rsidRDefault="00AC3D4E">
            <w:r>
              <w:t>80</w:t>
            </w:r>
            <w:r w:rsidR="00055B22">
              <w:t>.00</w:t>
            </w:r>
            <w:r>
              <w:t>%</w:t>
            </w:r>
          </w:p>
        </w:tc>
        <w:tc>
          <w:tcPr>
            <w:tcW w:w="2785" w:type="dxa"/>
            <w:vMerge/>
          </w:tcPr>
          <w:p w14:paraId="50A788D7" w14:textId="618C3144" w:rsidR="00471E5F" w:rsidRDefault="00471E5F"/>
        </w:tc>
      </w:tr>
      <w:tr w:rsidR="00471E5F" w14:paraId="2DBA62F4" w14:textId="77777777" w:rsidTr="720B1966">
        <w:trPr>
          <w:gridAfter w:val="1"/>
          <w:wAfter w:w="27" w:type="dxa"/>
        </w:trPr>
        <w:tc>
          <w:tcPr>
            <w:tcW w:w="2785" w:type="dxa"/>
          </w:tcPr>
          <w:p w14:paraId="03B95B18" w14:textId="56DBCFB1" w:rsidR="00471E5F" w:rsidRDefault="00471E5F">
            <w:r>
              <w:t xml:space="preserve">2. </w:t>
            </w:r>
            <w:r w:rsidR="005D44CF" w:rsidRPr="005D44CF">
              <w:t>Olive Avenue between Vince and Ramona</w:t>
            </w:r>
          </w:p>
        </w:tc>
        <w:tc>
          <w:tcPr>
            <w:tcW w:w="5220" w:type="dxa"/>
          </w:tcPr>
          <w:p w14:paraId="610339AD" w14:textId="723FA30F" w:rsidR="00471E5F" w:rsidRDefault="005D44CF" w:rsidP="005D44CF">
            <w:r w:rsidRPr="005D44CF">
              <w:t>Change to Mixed Use 3 (3 Stories) from Mixed Use 6 (6 stories) and 3-story Multifamily</w:t>
            </w:r>
          </w:p>
        </w:tc>
        <w:tc>
          <w:tcPr>
            <w:tcW w:w="2340" w:type="dxa"/>
            <w:shd w:val="clear" w:color="auto" w:fill="E2EFD9" w:themeFill="accent6" w:themeFillTint="33"/>
          </w:tcPr>
          <w:p w14:paraId="78E8550C" w14:textId="5742DF30" w:rsidR="00471E5F" w:rsidRDefault="00AC3D4E">
            <w:r>
              <w:t>77.91%</w:t>
            </w:r>
          </w:p>
        </w:tc>
        <w:tc>
          <w:tcPr>
            <w:tcW w:w="2785" w:type="dxa"/>
            <w:vMerge/>
          </w:tcPr>
          <w:p w14:paraId="0413A972" w14:textId="77777777" w:rsidR="00471E5F" w:rsidRDefault="00471E5F"/>
        </w:tc>
      </w:tr>
      <w:tr w:rsidR="00471E5F" w14:paraId="7CE3555D" w14:textId="77777777" w:rsidTr="720B1966">
        <w:trPr>
          <w:gridAfter w:val="1"/>
          <w:wAfter w:w="27" w:type="dxa"/>
        </w:trPr>
        <w:tc>
          <w:tcPr>
            <w:tcW w:w="2785" w:type="dxa"/>
          </w:tcPr>
          <w:p w14:paraId="6272E443" w14:textId="32F506D4" w:rsidR="00471E5F" w:rsidRDefault="00471E5F">
            <w:r>
              <w:t xml:space="preserve">3. </w:t>
            </w:r>
            <w:r w:rsidR="003C4D10" w:rsidRPr="003C4D10">
              <w:t>Commercial (300’ from Ventura Ave)</w:t>
            </w:r>
          </w:p>
        </w:tc>
        <w:tc>
          <w:tcPr>
            <w:tcW w:w="5220" w:type="dxa"/>
          </w:tcPr>
          <w:p w14:paraId="4F462933" w14:textId="6AD7347D" w:rsidR="00471E5F" w:rsidRDefault="003C4D10" w:rsidP="003C4D10">
            <w:r w:rsidRPr="003C4D10">
              <w:t>Change to Commercial (3 stories) from General Industrial (6 stories) and Light Industrial/Flex (3 stories)</w:t>
            </w:r>
          </w:p>
        </w:tc>
        <w:tc>
          <w:tcPr>
            <w:tcW w:w="2340" w:type="dxa"/>
            <w:shd w:val="clear" w:color="auto" w:fill="E2EFD9" w:themeFill="accent6" w:themeFillTint="33"/>
          </w:tcPr>
          <w:p w14:paraId="6CABB777" w14:textId="5CCA6435" w:rsidR="00471E5F" w:rsidRDefault="00AC3D4E">
            <w:r>
              <w:t>75.69%</w:t>
            </w:r>
          </w:p>
        </w:tc>
        <w:tc>
          <w:tcPr>
            <w:tcW w:w="2785" w:type="dxa"/>
            <w:vMerge/>
          </w:tcPr>
          <w:p w14:paraId="12AA3F94" w14:textId="77777777" w:rsidR="00471E5F" w:rsidRDefault="00471E5F"/>
        </w:tc>
      </w:tr>
      <w:tr w:rsidR="00471E5F" w14:paraId="6FE9DC66" w14:textId="77777777" w:rsidTr="720B1966">
        <w:trPr>
          <w:gridAfter w:val="1"/>
          <w:wAfter w:w="27" w:type="dxa"/>
        </w:trPr>
        <w:tc>
          <w:tcPr>
            <w:tcW w:w="2785" w:type="dxa"/>
          </w:tcPr>
          <w:p w14:paraId="384EDBEE" w14:textId="1D221754" w:rsidR="00471E5F" w:rsidRDefault="003C4D10">
            <w:r>
              <w:t xml:space="preserve">4. </w:t>
            </w:r>
            <w:r w:rsidRPr="003C4D10">
              <w:t>VUSD Site</w:t>
            </w:r>
          </w:p>
        </w:tc>
        <w:tc>
          <w:tcPr>
            <w:tcW w:w="5220" w:type="dxa"/>
          </w:tcPr>
          <w:p w14:paraId="20BDDABE" w14:textId="4B1D6C41" w:rsidR="00471E5F" w:rsidRDefault="003C4D10" w:rsidP="003C4D10">
            <w:r w:rsidRPr="003C4D10">
              <w:t>Change to Mixed Use 4 (4 Stories) from Commercial</w:t>
            </w:r>
          </w:p>
        </w:tc>
        <w:tc>
          <w:tcPr>
            <w:tcW w:w="2340" w:type="dxa"/>
            <w:shd w:val="clear" w:color="auto" w:fill="E2EFD9" w:themeFill="accent6" w:themeFillTint="33"/>
          </w:tcPr>
          <w:p w14:paraId="4457F8C7" w14:textId="3B17AAB3" w:rsidR="00471E5F" w:rsidRDefault="00AC3D4E">
            <w:r>
              <w:t>62.77%</w:t>
            </w:r>
          </w:p>
        </w:tc>
        <w:tc>
          <w:tcPr>
            <w:tcW w:w="2785" w:type="dxa"/>
            <w:vMerge/>
          </w:tcPr>
          <w:p w14:paraId="7DEFB06C" w14:textId="77777777" w:rsidR="00471E5F" w:rsidRDefault="00471E5F"/>
        </w:tc>
      </w:tr>
      <w:tr w:rsidR="003C4D10" w14:paraId="7157645C" w14:textId="77777777" w:rsidTr="720B1966">
        <w:trPr>
          <w:gridAfter w:val="1"/>
          <w:wAfter w:w="27" w:type="dxa"/>
        </w:trPr>
        <w:tc>
          <w:tcPr>
            <w:tcW w:w="2785" w:type="dxa"/>
          </w:tcPr>
          <w:p w14:paraId="220AA3D3" w14:textId="5C022AFB" w:rsidR="003C4D10" w:rsidRDefault="003C4D10">
            <w:r>
              <w:t xml:space="preserve">5. </w:t>
            </w:r>
            <w:r w:rsidR="007426D3" w:rsidRPr="007426D3">
              <w:t>Ventura North of De Anza &amp; Area Around Ventura Charter School</w:t>
            </w:r>
          </w:p>
        </w:tc>
        <w:tc>
          <w:tcPr>
            <w:tcW w:w="5220" w:type="dxa"/>
          </w:tcPr>
          <w:p w14:paraId="0D3BA1EF" w14:textId="2CF55087" w:rsidR="003C4D10" w:rsidRPr="003C4D10" w:rsidRDefault="007426D3" w:rsidP="007426D3">
            <w:r w:rsidRPr="007426D3">
              <w:t>Change to Mixed Use 3 (3 Stories) from Mixed Use 6 (6 Stories) parcels</w:t>
            </w:r>
          </w:p>
        </w:tc>
        <w:tc>
          <w:tcPr>
            <w:tcW w:w="2340" w:type="dxa"/>
            <w:shd w:val="clear" w:color="auto" w:fill="E2EFD9" w:themeFill="accent6" w:themeFillTint="33"/>
          </w:tcPr>
          <w:p w14:paraId="43BFFDDA" w14:textId="6186033B" w:rsidR="003C4D10" w:rsidRDefault="00AC3D4E">
            <w:r>
              <w:t>77.95%</w:t>
            </w:r>
          </w:p>
        </w:tc>
        <w:tc>
          <w:tcPr>
            <w:tcW w:w="2785" w:type="dxa"/>
            <w:vMerge/>
          </w:tcPr>
          <w:p w14:paraId="377A7E98" w14:textId="77777777" w:rsidR="003C4D10" w:rsidRDefault="003C4D10"/>
        </w:tc>
      </w:tr>
      <w:tr w:rsidR="003C4D10" w14:paraId="061DE77A" w14:textId="77777777" w:rsidTr="720B1966">
        <w:trPr>
          <w:gridAfter w:val="1"/>
          <w:wAfter w:w="27" w:type="dxa"/>
        </w:trPr>
        <w:tc>
          <w:tcPr>
            <w:tcW w:w="2785" w:type="dxa"/>
          </w:tcPr>
          <w:p w14:paraId="2E5E99AB" w14:textId="140B597F" w:rsidR="003C4D10" w:rsidRDefault="003C4D10">
            <w:r>
              <w:t xml:space="preserve">6. </w:t>
            </w:r>
            <w:r w:rsidR="007426D3" w:rsidRPr="007426D3">
              <w:t>North Ventura Avenue (Mixed Use Parcels)</w:t>
            </w:r>
          </w:p>
        </w:tc>
        <w:tc>
          <w:tcPr>
            <w:tcW w:w="5220" w:type="dxa"/>
          </w:tcPr>
          <w:p w14:paraId="7E39F1E2" w14:textId="5F714E03" w:rsidR="003C4D10" w:rsidRPr="003C4D10" w:rsidRDefault="007426D3" w:rsidP="007426D3">
            <w:r w:rsidRPr="007426D3">
              <w:t>Change to 3 Story Multifamily from Mixed Use 6 (6 stories)</w:t>
            </w:r>
          </w:p>
        </w:tc>
        <w:tc>
          <w:tcPr>
            <w:tcW w:w="2340" w:type="dxa"/>
            <w:shd w:val="clear" w:color="auto" w:fill="E2EFD9" w:themeFill="accent6" w:themeFillTint="33"/>
          </w:tcPr>
          <w:p w14:paraId="10017739" w14:textId="7EBA5A96" w:rsidR="003C4D10" w:rsidRDefault="00AC3D4E">
            <w:r>
              <w:t>78.33%</w:t>
            </w:r>
          </w:p>
        </w:tc>
        <w:tc>
          <w:tcPr>
            <w:tcW w:w="2785" w:type="dxa"/>
            <w:vMerge/>
          </w:tcPr>
          <w:p w14:paraId="23476C99" w14:textId="77777777" w:rsidR="003C4D10" w:rsidRDefault="003C4D10"/>
        </w:tc>
      </w:tr>
      <w:tr w:rsidR="003C4D10" w14:paraId="0D72E1D3" w14:textId="77777777" w:rsidTr="720B1966">
        <w:trPr>
          <w:gridAfter w:val="1"/>
          <w:wAfter w:w="27" w:type="dxa"/>
        </w:trPr>
        <w:tc>
          <w:tcPr>
            <w:tcW w:w="2785" w:type="dxa"/>
          </w:tcPr>
          <w:p w14:paraId="5410F409" w14:textId="0DDE3A11" w:rsidR="003C4D10" w:rsidRDefault="003C4D10">
            <w:r>
              <w:t xml:space="preserve">7. </w:t>
            </w:r>
            <w:r w:rsidR="007426D3" w:rsidRPr="007426D3">
              <w:t>North of Dakota</w:t>
            </w:r>
          </w:p>
        </w:tc>
        <w:tc>
          <w:tcPr>
            <w:tcW w:w="5220" w:type="dxa"/>
          </w:tcPr>
          <w:p w14:paraId="296EE3EC" w14:textId="67137150" w:rsidR="003C4D10" w:rsidRPr="003C4D10" w:rsidRDefault="007426D3" w:rsidP="007426D3">
            <w:r w:rsidRPr="007426D3">
              <w:t>Change to Light Industrial/Flex from Mixed Use 6 (6 stories)</w:t>
            </w:r>
          </w:p>
        </w:tc>
        <w:tc>
          <w:tcPr>
            <w:tcW w:w="2340" w:type="dxa"/>
            <w:shd w:val="clear" w:color="auto" w:fill="E2EFD9" w:themeFill="accent6" w:themeFillTint="33"/>
          </w:tcPr>
          <w:p w14:paraId="1E2AA8BB" w14:textId="48D9964D" w:rsidR="003C4D10" w:rsidRDefault="00AC3D4E">
            <w:r>
              <w:t>80.75%</w:t>
            </w:r>
          </w:p>
        </w:tc>
        <w:tc>
          <w:tcPr>
            <w:tcW w:w="2785" w:type="dxa"/>
            <w:vMerge/>
          </w:tcPr>
          <w:p w14:paraId="6597D929" w14:textId="77777777" w:rsidR="003C4D10" w:rsidRDefault="003C4D10"/>
        </w:tc>
      </w:tr>
      <w:tr w:rsidR="00471E5F" w14:paraId="52A0EFC9" w14:textId="77777777" w:rsidTr="720B1966">
        <w:trPr>
          <w:gridAfter w:val="1"/>
          <w:wAfter w:w="27" w:type="dxa"/>
        </w:trPr>
        <w:tc>
          <w:tcPr>
            <w:tcW w:w="2785" w:type="dxa"/>
          </w:tcPr>
          <w:p w14:paraId="79B91AE1" w14:textId="06481890" w:rsidR="00471E5F" w:rsidRDefault="003C4D10">
            <w:r>
              <w:t xml:space="preserve">8. </w:t>
            </w:r>
            <w:r w:rsidR="007426D3" w:rsidRPr="007426D3">
              <w:t>VUSD Site</w:t>
            </w:r>
          </w:p>
        </w:tc>
        <w:tc>
          <w:tcPr>
            <w:tcW w:w="5220" w:type="dxa"/>
          </w:tcPr>
          <w:p w14:paraId="1AB90503" w14:textId="75D2E757" w:rsidR="00471E5F" w:rsidRDefault="007426D3" w:rsidP="007426D3">
            <w:r w:rsidRPr="007426D3">
              <w:t>Change to Mixed Use 3 (3 Stories) from Neighborhood Low</w:t>
            </w:r>
          </w:p>
        </w:tc>
        <w:tc>
          <w:tcPr>
            <w:tcW w:w="2340" w:type="dxa"/>
            <w:shd w:val="clear" w:color="auto" w:fill="E2EFD9" w:themeFill="accent6" w:themeFillTint="33"/>
          </w:tcPr>
          <w:p w14:paraId="4D49243F" w14:textId="7465BFF3" w:rsidR="00471E5F" w:rsidRDefault="00AC3D4E">
            <w:r>
              <w:t>65.33%</w:t>
            </w:r>
          </w:p>
        </w:tc>
        <w:tc>
          <w:tcPr>
            <w:tcW w:w="2785" w:type="dxa"/>
            <w:vMerge/>
          </w:tcPr>
          <w:p w14:paraId="0A005E21" w14:textId="77777777" w:rsidR="00471E5F" w:rsidRDefault="00471E5F"/>
        </w:tc>
      </w:tr>
      <w:tr w:rsidR="003317F9" w14:paraId="1B286994" w14:textId="77777777" w:rsidTr="720B1966">
        <w:tc>
          <w:tcPr>
            <w:tcW w:w="13157" w:type="dxa"/>
            <w:gridSpan w:val="5"/>
            <w:shd w:val="clear" w:color="auto" w:fill="D9D9D9" w:themeFill="background1" w:themeFillShade="D9"/>
          </w:tcPr>
          <w:p w14:paraId="3E7E27F4" w14:textId="0CBF1966" w:rsidR="003317F9" w:rsidRDefault="003317F9">
            <w:r w:rsidRPr="006E730E">
              <w:rPr>
                <w:b/>
                <w:bCs/>
                <w:i/>
                <w:iCs/>
              </w:rPr>
              <w:t>Midtown Corridors</w:t>
            </w:r>
          </w:p>
        </w:tc>
      </w:tr>
      <w:tr w:rsidR="00471E5F" w14:paraId="1FD1F3FF" w14:textId="77777777" w:rsidTr="720B1966">
        <w:trPr>
          <w:gridAfter w:val="1"/>
          <w:wAfter w:w="27" w:type="dxa"/>
        </w:trPr>
        <w:tc>
          <w:tcPr>
            <w:tcW w:w="2785" w:type="dxa"/>
            <w:shd w:val="clear" w:color="auto" w:fill="FFFFFF" w:themeFill="background1"/>
          </w:tcPr>
          <w:p w14:paraId="282152AB" w14:textId="0AADFD9D" w:rsidR="00471E5F" w:rsidRDefault="00471E5F">
            <w:r>
              <w:t>High Level Direction</w:t>
            </w:r>
          </w:p>
        </w:tc>
        <w:tc>
          <w:tcPr>
            <w:tcW w:w="5220" w:type="dxa"/>
            <w:shd w:val="clear" w:color="auto" w:fill="FFFFFF" w:themeFill="background1"/>
          </w:tcPr>
          <w:p w14:paraId="216D2E02" w14:textId="26A547AA" w:rsidR="00471E5F" w:rsidRPr="003317F9" w:rsidRDefault="003317F9">
            <w:r w:rsidRPr="003317F9">
              <w:t>The Midtown Corridors (Thompson and Main Streetbetween Downtown and Five Points) are planned to be lively areas where</w:t>
            </w:r>
            <w:r>
              <w:t xml:space="preserve"> </w:t>
            </w:r>
            <w:r w:rsidRPr="003317F9">
              <w:t>people can live, work, and walk around easily. On both Thompson and</w:t>
            </w:r>
            <w:r>
              <w:t xml:space="preserve"> </w:t>
            </w:r>
            <w:r w:rsidRPr="003317F9">
              <w:t xml:space="preserve">Main Streets, the buildings will be 3 stories tall west of Jordan </w:t>
            </w:r>
            <w:proofErr w:type="gramStart"/>
            <w:r w:rsidRPr="003317F9">
              <w:t>Avenue(</w:t>
            </w:r>
            <w:proofErr w:type="gramEnd"/>
            <w:r w:rsidRPr="003317F9">
              <w:t>which is one block west of Seaward Avenue). However, between Jordan</w:t>
            </w:r>
            <w:r>
              <w:t xml:space="preserve"> </w:t>
            </w:r>
            <w:r w:rsidRPr="003317F9">
              <w:t>Avenue and S. Katherine Drive, building heights will be increased by 1story to allow for 4 story buildings.</w:t>
            </w:r>
          </w:p>
        </w:tc>
        <w:tc>
          <w:tcPr>
            <w:tcW w:w="2340" w:type="dxa"/>
            <w:shd w:val="clear" w:color="auto" w:fill="F7A09B"/>
          </w:tcPr>
          <w:p w14:paraId="748ACBEE" w14:textId="419911A3" w:rsidR="00471E5F" w:rsidRDefault="003317F9">
            <w:r>
              <w:t>31.02</w:t>
            </w:r>
            <w:r w:rsidR="00471E5F">
              <w:t>%</w:t>
            </w:r>
          </w:p>
        </w:tc>
        <w:tc>
          <w:tcPr>
            <w:tcW w:w="2785" w:type="dxa"/>
            <w:vMerge w:val="restart"/>
            <w:shd w:val="clear" w:color="auto" w:fill="FFFFFF" w:themeFill="background1"/>
          </w:tcPr>
          <w:p w14:paraId="0BBE5510" w14:textId="6ADE2FC7" w:rsidR="00471E5F" w:rsidRDefault="6C5159B9" w:rsidP="720B1966">
            <w:pPr>
              <w:rPr>
                <w:i/>
                <w:iCs/>
              </w:rPr>
            </w:pPr>
            <w:r>
              <w:t xml:space="preserve">The PC did not agree with the direction of the GPAC for this area. The PC recommended that only the south side of Thompson East of Jordan and the </w:t>
            </w:r>
            <w:r w:rsidR="731B9F79">
              <w:t>“triangle</w:t>
            </w:r>
            <w:r w:rsidR="62711A33">
              <w:t>” area on the south side of Main</w:t>
            </w:r>
            <w:r w:rsidR="429C69C9">
              <w:t xml:space="preserve"> Street (between Evergreen and Katherine)</w:t>
            </w:r>
            <w:r w:rsidR="62711A33">
              <w:t xml:space="preserve"> be Mixed Use 4 with the other areas remaining Mixed Use 3.</w:t>
            </w:r>
            <w:r w:rsidR="4885621F">
              <w:t xml:space="preserve"> The vote was 4-3.</w:t>
            </w:r>
            <w:r w:rsidR="67E9CE65">
              <w:t xml:space="preserve"> </w:t>
            </w:r>
            <w:r w:rsidR="67E9CE65" w:rsidRPr="720B1966">
              <w:rPr>
                <w:i/>
                <w:iCs/>
              </w:rPr>
              <w:t>(Note that the Presentation will include a graphic of this area.)</w:t>
            </w:r>
          </w:p>
        </w:tc>
      </w:tr>
      <w:tr w:rsidR="00471E5F" w14:paraId="07E0FF2B" w14:textId="77777777" w:rsidTr="720B1966">
        <w:trPr>
          <w:gridAfter w:val="1"/>
          <w:wAfter w:w="27" w:type="dxa"/>
        </w:trPr>
        <w:tc>
          <w:tcPr>
            <w:tcW w:w="2785" w:type="dxa"/>
          </w:tcPr>
          <w:p w14:paraId="26A2CEA7" w14:textId="1C707CD9" w:rsidR="00471E5F" w:rsidRDefault="00471E5F">
            <w:r>
              <w:t>1. Main and Thompson E. of Jordan Ave</w:t>
            </w:r>
          </w:p>
        </w:tc>
        <w:tc>
          <w:tcPr>
            <w:tcW w:w="5220" w:type="dxa"/>
          </w:tcPr>
          <w:p w14:paraId="3F6ACBAA" w14:textId="056F5494" w:rsidR="00471E5F" w:rsidRDefault="00471E5F">
            <w:r w:rsidRPr="00471E5F">
              <w:t>Change to Mixed Use 4 (4 stories) from Mixed Use 3 (3 stories)</w:t>
            </w:r>
          </w:p>
        </w:tc>
        <w:tc>
          <w:tcPr>
            <w:tcW w:w="2340" w:type="dxa"/>
            <w:shd w:val="clear" w:color="auto" w:fill="F7A09B"/>
          </w:tcPr>
          <w:p w14:paraId="4EDEB65B" w14:textId="3FE24002" w:rsidR="00471E5F" w:rsidRDefault="003317F9">
            <w:r>
              <w:t>22.19</w:t>
            </w:r>
            <w:r w:rsidR="00471E5F">
              <w:t>%</w:t>
            </w:r>
          </w:p>
        </w:tc>
        <w:tc>
          <w:tcPr>
            <w:tcW w:w="2785" w:type="dxa"/>
            <w:vMerge/>
          </w:tcPr>
          <w:p w14:paraId="5106AB28" w14:textId="5A4AFA02" w:rsidR="00471E5F" w:rsidRDefault="00471E5F"/>
        </w:tc>
      </w:tr>
      <w:tr w:rsidR="003317F9" w14:paraId="7D925F55" w14:textId="77777777" w:rsidTr="720B1966">
        <w:tc>
          <w:tcPr>
            <w:tcW w:w="13157" w:type="dxa"/>
            <w:gridSpan w:val="5"/>
            <w:shd w:val="clear" w:color="auto" w:fill="D9D9D9" w:themeFill="background1" w:themeFillShade="D9"/>
          </w:tcPr>
          <w:p w14:paraId="44E418A6" w14:textId="4D27F5A4" w:rsidR="003317F9" w:rsidRDefault="003317F9">
            <w:r w:rsidRPr="006E730E">
              <w:rPr>
                <w:b/>
                <w:bCs/>
                <w:i/>
                <w:iCs/>
              </w:rPr>
              <w:t>Five Points/Pacific View Mall &amp; Hospital Area</w:t>
            </w:r>
          </w:p>
        </w:tc>
      </w:tr>
      <w:tr w:rsidR="003317F9" w14:paraId="505FFA7E" w14:textId="77777777" w:rsidTr="720B1966">
        <w:trPr>
          <w:gridAfter w:val="1"/>
          <w:wAfter w:w="27" w:type="dxa"/>
        </w:trPr>
        <w:tc>
          <w:tcPr>
            <w:tcW w:w="2785" w:type="dxa"/>
          </w:tcPr>
          <w:p w14:paraId="1937EDD7" w14:textId="65AA3D68" w:rsidR="003317F9" w:rsidRDefault="003317F9">
            <w:r>
              <w:t xml:space="preserve">High Level Direction - </w:t>
            </w:r>
            <w:r w:rsidRPr="003317F9">
              <w:t>Hospital Areas</w:t>
            </w:r>
          </w:p>
        </w:tc>
        <w:tc>
          <w:tcPr>
            <w:tcW w:w="5220" w:type="dxa"/>
          </w:tcPr>
          <w:p w14:paraId="11ABFEAA" w14:textId="0341B401" w:rsidR="003317F9" w:rsidRPr="00471E5F" w:rsidRDefault="003317F9">
            <w:r w:rsidRPr="003317F9">
              <w:t xml:space="preserve">Ventura has two hospitals located near each other along Loma Vista Road. The vision for this area is an expanded “healthcare district” that allows for medical offices, surgery centers, retail, and accommodations. The area will prohibit new housing to ensure </w:t>
            </w:r>
            <w:r>
              <w:t xml:space="preserve">a </w:t>
            </w:r>
            <w:r w:rsidRPr="003317F9">
              <w:t>continuation of hospital-supporting uses. The parcels along Loma Vista</w:t>
            </w:r>
            <w:r>
              <w:t xml:space="preserve"> </w:t>
            </w:r>
            <w:r w:rsidRPr="003317F9">
              <w:t>between Main Street and Mills Road are proposed to be “Commercial” (3stories and 45 feet).</w:t>
            </w:r>
          </w:p>
        </w:tc>
        <w:tc>
          <w:tcPr>
            <w:tcW w:w="2340" w:type="dxa"/>
            <w:shd w:val="clear" w:color="auto" w:fill="E2EFD9" w:themeFill="accent6" w:themeFillTint="33"/>
          </w:tcPr>
          <w:p w14:paraId="0E558405" w14:textId="6A9A0061" w:rsidR="003317F9" w:rsidRDefault="003317F9">
            <w:r>
              <w:t>67.34%</w:t>
            </w:r>
          </w:p>
        </w:tc>
        <w:tc>
          <w:tcPr>
            <w:tcW w:w="2785" w:type="dxa"/>
            <w:vMerge w:val="restart"/>
          </w:tcPr>
          <w:p w14:paraId="2B772E2D" w14:textId="1C8DFCF4" w:rsidR="4A28EEBD" w:rsidRDefault="4A28EEBD">
            <w:r>
              <w:t>The PC agreed with the GPAC recommendation for Areas 1 with a 7-0 vote.</w:t>
            </w:r>
          </w:p>
          <w:p w14:paraId="5DD65D8C" w14:textId="3ED7EB5C" w:rsidR="720B1966" w:rsidRDefault="720B1966" w:rsidP="720B1966"/>
          <w:p w14:paraId="1D2A2664" w14:textId="7EF25712" w:rsidR="4BB5B16C" w:rsidRDefault="4BB5B16C" w:rsidP="720B1966">
            <w:r>
              <w:t>The PC agreed with the GPAC recommendation for Areas 2 and 3 with a 6-1 vote.</w:t>
            </w:r>
          </w:p>
          <w:p w14:paraId="03B2429B" w14:textId="3503B29E" w:rsidR="720B1966" w:rsidRDefault="720B1966" w:rsidP="720B1966"/>
          <w:p w14:paraId="52C05137" w14:textId="21363123" w:rsidR="4BB5B16C" w:rsidRDefault="4BB5B16C" w:rsidP="720B1966">
            <w:pPr>
              <w:rPr>
                <w:i/>
                <w:iCs/>
              </w:rPr>
            </w:pPr>
            <w:r>
              <w:t>The PC developed an al</w:t>
            </w:r>
            <w:r w:rsidR="046D7DA0">
              <w:t>ternate recommendation for Area 4. The recommendation is for Mixed Use 4 on the parcels on the North side</w:t>
            </w:r>
            <w:r w:rsidR="6672A177">
              <w:t xml:space="preserve"> of Telegraph</w:t>
            </w:r>
            <w:r w:rsidR="046D7DA0">
              <w:t xml:space="preserve"> immediately </w:t>
            </w:r>
            <w:r w:rsidR="12E1FD61">
              <w:t xml:space="preserve">across the street from the </w:t>
            </w:r>
            <w:proofErr w:type="gramStart"/>
            <w:r w:rsidR="12E1FD61">
              <w:t>Mall</w:t>
            </w:r>
            <w:proofErr w:type="gramEnd"/>
            <w:r w:rsidR="12E1FD61">
              <w:t xml:space="preserve"> and the “large parcels</w:t>
            </w:r>
            <w:r w:rsidR="7BD4E3C0">
              <w:t>” East of Palomares</w:t>
            </w:r>
            <w:r w:rsidR="60312954">
              <w:t xml:space="preserve"> on the North side of Telegraph. </w:t>
            </w:r>
            <w:r w:rsidR="60312954" w:rsidRPr="720B1966">
              <w:rPr>
                <w:i/>
                <w:iCs/>
              </w:rPr>
              <w:t>(Note that the Presentation will include a graphic of this area.)</w:t>
            </w:r>
            <w:r w:rsidR="27AC522D" w:rsidRPr="720B1966">
              <w:rPr>
                <w:i/>
                <w:iCs/>
              </w:rPr>
              <w:t xml:space="preserve"> </w:t>
            </w:r>
            <w:r w:rsidR="00E258AA">
              <w:rPr>
                <w:i/>
                <w:iCs/>
              </w:rPr>
              <w:t>(7-0)</w:t>
            </w:r>
          </w:p>
        </w:tc>
      </w:tr>
      <w:tr w:rsidR="003317F9" w14:paraId="5F91B57B" w14:textId="77777777" w:rsidTr="720B1966">
        <w:trPr>
          <w:gridAfter w:val="1"/>
          <w:wAfter w:w="27" w:type="dxa"/>
        </w:trPr>
        <w:tc>
          <w:tcPr>
            <w:tcW w:w="2785" w:type="dxa"/>
          </w:tcPr>
          <w:p w14:paraId="41BDA25A" w14:textId="148B7C1A" w:rsidR="003317F9" w:rsidRDefault="003317F9">
            <w:r>
              <w:t>High Level Direction – Pacific View Mall Area</w:t>
            </w:r>
          </w:p>
        </w:tc>
        <w:tc>
          <w:tcPr>
            <w:tcW w:w="5220" w:type="dxa"/>
          </w:tcPr>
          <w:p w14:paraId="230A3628" w14:textId="7B44B177" w:rsidR="003317F9" w:rsidRPr="00471E5F" w:rsidRDefault="003317F9">
            <w:r w:rsidRPr="003317F9">
              <w:t>The Pacific View Mall and the surrounding area should be redeveloped as a walkable, mixed-use area with a diversity of housing, retail, and offices and a requirement for onsite parks and plazas with the goal of making the area more vibrant and enjoyable for everyone. The allowable building heights will stay the same (6 stories and 75 feet).</w:t>
            </w:r>
          </w:p>
        </w:tc>
        <w:tc>
          <w:tcPr>
            <w:tcW w:w="2340" w:type="dxa"/>
            <w:shd w:val="clear" w:color="auto" w:fill="E2EFD9" w:themeFill="accent6" w:themeFillTint="33"/>
          </w:tcPr>
          <w:p w14:paraId="59CC5FBE" w14:textId="5190D669" w:rsidR="003317F9" w:rsidRDefault="003317F9">
            <w:r>
              <w:t>61.99%</w:t>
            </w:r>
          </w:p>
        </w:tc>
        <w:tc>
          <w:tcPr>
            <w:tcW w:w="2785" w:type="dxa"/>
            <w:vMerge/>
          </w:tcPr>
          <w:p w14:paraId="1081D33E" w14:textId="77777777" w:rsidR="003317F9" w:rsidRDefault="003317F9"/>
        </w:tc>
      </w:tr>
      <w:tr w:rsidR="003317F9" w14:paraId="752C5E6B" w14:textId="77777777" w:rsidTr="720B1966">
        <w:trPr>
          <w:gridAfter w:val="1"/>
          <w:wAfter w:w="27" w:type="dxa"/>
        </w:trPr>
        <w:tc>
          <w:tcPr>
            <w:tcW w:w="2785" w:type="dxa"/>
          </w:tcPr>
          <w:p w14:paraId="18859F51" w14:textId="3F85C68A" w:rsidR="003317F9" w:rsidRDefault="003317F9">
            <w:r>
              <w:t xml:space="preserve">1. </w:t>
            </w:r>
            <w:r w:rsidRPr="003317F9">
              <w:t>Loma Vista (north side</w:t>
            </w:r>
            <w:r>
              <w:t>)</w:t>
            </w:r>
          </w:p>
        </w:tc>
        <w:tc>
          <w:tcPr>
            <w:tcW w:w="5220" w:type="dxa"/>
          </w:tcPr>
          <w:p w14:paraId="593D976D" w14:textId="57D7C1B0" w:rsidR="003317F9" w:rsidRPr="00471E5F" w:rsidRDefault="003317F9" w:rsidP="003317F9">
            <w:r w:rsidRPr="003317F9">
              <w:t>Change to “Commercial” (3 stories) from Mixed Use 3 (3 stories)</w:t>
            </w:r>
          </w:p>
        </w:tc>
        <w:tc>
          <w:tcPr>
            <w:tcW w:w="2340" w:type="dxa"/>
            <w:shd w:val="clear" w:color="auto" w:fill="E2EFD9" w:themeFill="accent6" w:themeFillTint="33"/>
          </w:tcPr>
          <w:p w14:paraId="2AE728DC" w14:textId="29DEE110" w:rsidR="003317F9" w:rsidRDefault="003317F9" w:rsidP="003317F9">
            <w:pPr>
              <w:tabs>
                <w:tab w:val="left" w:pos="1168"/>
              </w:tabs>
            </w:pPr>
            <w:r>
              <w:t>72.73%</w:t>
            </w:r>
            <w:r>
              <w:tab/>
            </w:r>
          </w:p>
        </w:tc>
        <w:tc>
          <w:tcPr>
            <w:tcW w:w="2785" w:type="dxa"/>
            <w:vMerge/>
          </w:tcPr>
          <w:p w14:paraId="011747DB" w14:textId="77777777" w:rsidR="003317F9" w:rsidRDefault="003317F9"/>
        </w:tc>
      </w:tr>
      <w:tr w:rsidR="003317F9" w14:paraId="38B12295" w14:textId="77777777" w:rsidTr="720B1966">
        <w:trPr>
          <w:gridAfter w:val="1"/>
          <w:wAfter w:w="27" w:type="dxa"/>
        </w:trPr>
        <w:tc>
          <w:tcPr>
            <w:tcW w:w="2785" w:type="dxa"/>
          </w:tcPr>
          <w:p w14:paraId="5A9AAFA2" w14:textId="77777777" w:rsidR="003317F9" w:rsidRPr="003317F9" w:rsidRDefault="003317F9" w:rsidP="003317F9">
            <w:r>
              <w:t xml:space="preserve">2. </w:t>
            </w:r>
            <w:r w:rsidRPr="003317F9">
              <w:t>Main Street</w:t>
            </w:r>
          </w:p>
          <w:p w14:paraId="59E11699" w14:textId="7B50AF6B" w:rsidR="003317F9" w:rsidRDefault="003317F9"/>
        </w:tc>
        <w:tc>
          <w:tcPr>
            <w:tcW w:w="5220" w:type="dxa"/>
          </w:tcPr>
          <w:p w14:paraId="2B2CD59B" w14:textId="15816CF6" w:rsidR="003317F9" w:rsidRPr="00471E5F" w:rsidRDefault="003317F9" w:rsidP="003317F9">
            <w:r w:rsidRPr="003317F9">
              <w:t>Change to Mixed Use 4 (4 stories) from Mixed Use 3 (3 stories)</w:t>
            </w:r>
          </w:p>
        </w:tc>
        <w:tc>
          <w:tcPr>
            <w:tcW w:w="2340" w:type="dxa"/>
            <w:shd w:val="clear" w:color="auto" w:fill="F7A09B"/>
          </w:tcPr>
          <w:p w14:paraId="720B75F8" w14:textId="6A73C79F" w:rsidR="003317F9" w:rsidRDefault="003317F9">
            <w:r>
              <w:t>31.13%</w:t>
            </w:r>
          </w:p>
        </w:tc>
        <w:tc>
          <w:tcPr>
            <w:tcW w:w="2785" w:type="dxa"/>
            <w:vMerge/>
          </w:tcPr>
          <w:p w14:paraId="3CB9A30E" w14:textId="77777777" w:rsidR="003317F9" w:rsidRDefault="003317F9"/>
        </w:tc>
      </w:tr>
      <w:tr w:rsidR="003317F9" w14:paraId="5263FEF6" w14:textId="77777777" w:rsidTr="720B1966">
        <w:trPr>
          <w:gridAfter w:val="1"/>
          <w:wAfter w:w="27" w:type="dxa"/>
        </w:trPr>
        <w:tc>
          <w:tcPr>
            <w:tcW w:w="2785" w:type="dxa"/>
          </w:tcPr>
          <w:p w14:paraId="181A0578" w14:textId="5FB2CB31" w:rsidR="003317F9" w:rsidRPr="003317F9" w:rsidRDefault="003317F9" w:rsidP="003317F9">
            <w:r>
              <w:t xml:space="preserve">3. </w:t>
            </w:r>
            <w:r w:rsidRPr="003317F9">
              <w:t>Pacific View Mall parcels</w:t>
            </w:r>
          </w:p>
          <w:p w14:paraId="57609E79" w14:textId="39507C06" w:rsidR="003317F9" w:rsidRDefault="003317F9" w:rsidP="003317F9">
            <w:pPr>
              <w:tabs>
                <w:tab w:val="center" w:pos="1393"/>
              </w:tabs>
            </w:pPr>
          </w:p>
        </w:tc>
        <w:tc>
          <w:tcPr>
            <w:tcW w:w="5220" w:type="dxa"/>
          </w:tcPr>
          <w:p w14:paraId="30AC7175" w14:textId="2CED107B" w:rsidR="003317F9" w:rsidRPr="00471E5F" w:rsidRDefault="003317F9" w:rsidP="003317F9">
            <w:r w:rsidRPr="003317F9">
              <w:t xml:space="preserve">Change 2 parcels to Mixed Use </w:t>
            </w:r>
            <w:proofErr w:type="gramStart"/>
            <w:r w:rsidRPr="003317F9">
              <w:t>6  (</w:t>
            </w:r>
            <w:proofErr w:type="gramEnd"/>
            <w:r w:rsidRPr="003317F9">
              <w:t>6 stories) from Mixed Use 3 (3 stories) and Neighborhood Low</w:t>
            </w:r>
          </w:p>
        </w:tc>
        <w:tc>
          <w:tcPr>
            <w:tcW w:w="2340" w:type="dxa"/>
            <w:shd w:val="clear" w:color="auto" w:fill="F7A09B"/>
          </w:tcPr>
          <w:p w14:paraId="628965C0" w14:textId="37D9B575" w:rsidR="003317F9" w:rsidRDefault="003317F9">
            <w:r>
              <w:t>30.41%</w:t>
            </w:r>
          </w:p>
        </w:tc>
        <w:tc>
          <w:tcPr>
            <w:tcW w:w="2785" w:type="dxa"/>
            <w:vMerge/>
          </w:tcPr>
          <w:p w14:paraId="4C116532" w14:textId="77777777" w:rsidR="003317F9" w:rsidRDefault="003317F9"/>
        </w:tc>
      </w:tr>
      <w:tr w:rsidR="003317F9" w14:paraId="4B6C6780" w14:textId="77777777" w:rsidTr="720B1966">
        <w:trPr>
          <w:gridAfter w:val="1"/>
          <w:wAfter w:w="27" w:type="dxa"/>
        </w:trPr>
        <w:tc>
          <w:tcPr>
            <w:tcW w:w="2785" w:type="dxa"/>
          </w:tcPr>
          <w:p w14:paraId="404F1313" w14:textId="67B2FCAF" w:rsidR="003317F9" w:rsidRDefault="003317F9">
            <w:r>
              <w:t xml:space="preserve">4. </w:t>
            </w:r>
            <w:r w:rsidRPr="003317F9">
              <w:t>Telegraph Corridor</w:t>
            </w:r>
          </w:p>
        </w:tc>
        <w:tc>
          <w:tcPr>
            <w:tcW w:w="5220" w:type="dxa"/>
          </w:tcPr>
          <w:p w14:paraId="349BA9B4" w14:textId="3A40BAA0" w:rsidR="003317F9" w:rsidRPr="00471E5F" w:rsidRDefault="003317F9" w:rsidP="003317F9">
            <w:r w:rsidRPr="003317F9">
              <w:t>Change to Mixed Use 4 (4 stories) from Mixed Use 3 (3 stories) and Commercial</w:t>
            </w:r>
          </w:p>
        </w:tc>
        <w:tc>
          <w:tcPr>
            <w:tcW w:w="2340" w:type="dxa"/>
            <w:shd w:val="clear" w:color="auto" w:fill="F7A09B"/>
          </w:tcPr>
          <w:p w14:paraId="52CA2426" w14:textId="65CD086B" w:rsidR="003317F9" w:rsidRDefault="003317F9">
            <w:r>
              <w:t>30.31%</w:t>
            </w:r>
          </w:p>
        </w:tc>
        <w:tc>
          <w:tcPr>
            <w:tcW w:w="2785" w:type="dxa"/>
            <w:vMerge/>
          </w:tcPr>
          <w:p w14:paraId="2FD9A3C4" w14:textId="77777777" w:rsidR="003317F9" w:rsidRDefault="003317F9"/>
        </w:tc>
      </w:tr>
      <w:tr w:rsidR="003317F9" w14:paraId="425CAB6C" w14:textId="77777777" w:rsidTr="720B1966">
        <w:tc>
          <w:tcPr>
            <w:tcW w:w="13157" w:type="dxa"/>
            <w:gridSpan w:val="5"/>
            <w:shd w:val="clear" w:color="auto" w:fill="D9D9D9" w:themeFill="background1" w:themeFillShade="D9"/>
          </w:tcPr>
          <w:p w14:paraId="3CCDE87C" w14:textId="53A7D535" w:rsidR="003317F9" w:rsidRDefault="003317F9">
            <w:proofErr w:type="spellStart"/>
            <w:r w:rsidRPr="006E730E">
              <w:rPr>
                <w:b/>
                <w:bCs/>
                <w:i/>
                <w:iCs/>
              </w:rPr>
              <w:t>Arundell</w:t>
            </w:r>
            <w:proofErr w:type="spellEnd"/>
            <w:r w:rsidRPr="006E730E">
              <w:rPr>
                <w:b/>
                <w:bCs/>
                <w:i/>
                <w:iCs/>
              </w:rPr>
              <w:t xml:space="preserve"> &amp; North Bank</w:t>
            </w:r>
          </w:p>
        </w:tc>
      </w:tr>
      <w:tr w:rsidR="003317F9" w14:paraId="51DFE384" w14:textId="77777777" w:rsidTr="720B1966">
        <w:trPr>
          <w:gridAfter w:val="1"/>
          <w:wAfter w:w="27" w:type="dxa"/>
        </w:trPr>
        <w:tc>
          <w:tcPr>
            <w:tcW w:w="2785" w:type="dxa"/>
          </w:tcPr>
          <w:p w14:paraId="0FABFCA0" w14:textId="4C538D1A" w:rsidR="003317F9" w:rsidRDefault="003317F9">
            <w:r>
              <w:t>High Level Direction</w:t>
            </w:r>
          </w:p>
        </w:tc>
        <w:tc>
          <w:tcPr>
            <w:tcW w:w="5220" w:type="dxa"/>
          </w:tcPr>
          <w:p w14:paraId="54073C86" w14:textId="5C4E405F" w:rsidR="003317F9" w:rsidRPr="00471E5F" w:rsidRDefault="003317F9">
            <w:r w:rsidRPr="003317F9">
              <w:t>These areas are important for maintaining existing jobs and creating new jobs in Ventura for a strong economy. Most of the land uses will remain the same but 6 story building heights will be allowed. In most areas, new homes won’t be allowed because of the focus on job-related activities. Part of the area, including the large vacant land, is envisioned for office and research &amp; development uses.</w:t>
            </w:r>
          </w:p>
        </w:tc>
        <w:tc>
          <w:tcPr>
            <w:tcW w:w="2340" w:type="dxa"/>
            <w:shd w:val="clear" w:color="auto" w:fill="F7A09B"/>
          </w:tcPr>
          <w:p w14:paraId="34A9B593" w14:textId="2B41E0F1" w:rsidR="003317F9" w:rsidRDefault="003317F9">
            <w:r>
              <w:t>46.5</w:t>
            </w:r>
            <w:r w:rsidR="00055B22">
              <w:t>0</w:t>
            </w:r>
            <w:r>
              <w:t>%</w:t>
            </w:r>
          </w:p>
        </w:tc>
        <w:tc>
          <w:tcPr>
            <w:tcW w:w="2785" w:type="dxa"/>
            <w:vMerge w:val="restart"/>
          </w:tcPr>
          <w:p w14:paraId="6DA79A85" w14:textId="74C22F0A" w:rsidR="003317F9" w:rsidRDefault="0E1E3B30">
            <w:r>
              <w:t>The PC agreed with the GPAC’s recommendation for Areas 1 and 2 and recommended that a Specific Plan be created for the McGrath property. The vote was 7-0.</w:t>
            </w:r>
          </w:p>
        </w:tc>
      </w:tr>
      <w:tr w:rsidR="003317F9" w14:paraId="6EE9C66E" w14:textId="77777777" w:rsidTr="720B1966">
        <w:trPr>
          <w:gridAfter w:val="1"/>
          <w:wAfter w:w="27" w:type="dxa"/>
        </w:trPr>
        <w:tc>
          <w:tcPr>
            <w:tcW w:w="2785" w:type="dxa"/>
          </w:tcPr>
          <w:p w14:paraId="4881C7C3" w14:textId="6FCF6928" w:rsidR="003317F9" w:rsidRDefault="003317F9">
            <w:r>
              <w:t xml:space="preserve">1. </w:t>
            </w:r>
            <w:r w:rsidRPr="003317F9">
              <w:t>Retail Shopping Centers</w:t>
            </w:r>
          </w:p>
        </w:tc>
        <w:tc>
          <w:tcPr>
            <w:tcW w:w="5220" w:type="dxa"/>
          </w:tcPr>
          <w:p w14:paraId="35D94E52" w14:textId="2677E7FE" w:rsidR="003317F9" w:rsidRPr="00471E5F" w:rsidRDefault="003317F9" w:rsidP="003317F9">
            <w:r w:rsidRPr="003317F9">
              <w:t>Change to Commercial (3 stories) from Mixed Use 6 (6 stories)</w:t>
            </w:r>
          </w:p>
        </w:tc>
        <w:tc>
          <w:tcPr>
            <w:tcW w:w="2340" w:type="dxa"/>
            <w:shd w:val="clear" w:color="auto" w:fill="E2EFD9" w:themeFill="accent6" w:themeFillTint="33"/>
          </w:tcPr>
          <w:p w14:paraId="6C9E6864" w14:textId="3A82EC8F" w:rsidR="003317F9" w:rsidRDefault="0027607D">
            <w:r>
              <w:t>66.11%</w:t>
            </w:r>
          </w:p>
        </w:tc>
        <w:tc>
          <w:tcPr>
            <w:tcW w:w="2785" w:type="dxa"/>
            <w:vMerge/>
          </w:tcPr>
          <w:p w14:paraId="1417C4E8" w14:textId="77777777" w:rsidR="003317F9" w:rsidRDefault="003317F9"/>
        </w:tc>
      </w:tr>
      <w:tr w:rsidR="003317F9" w14:paraId="6CD01591" w14:textId="77777777" w:rsidTr="720B1966">
        <w:trPr>
          <w:gridAfter w:val="1"/>
          <w:wAfter w:w="27" w:type="dxa"/>
        </w:trPr>
        <w:tc>
          <w:tcPr>
            <w:tcW w:w="2785" w:type="dxa"/>
          </w:tcPr>
          <w:p w14:paraId="5A7C1AB4" w14:textId="6E40D123" w:rsidR="003317F9" w:rsidRDefault="003317F9">
            <w:r>
              <w:t xml:space="preserve">2. </w:t>
            </w:r>
            <w:r w:rsidRPr="003317F9">
              <w:t>McGrath Property and Parcels to the East</w:t>
            </w:r>
          </w:p>
        </w:tc>
        <w:tc>
          <w:tcPr>
            <w:tcW w:w="5220" w:type="dxa"/>
          </w:tcPr>
          <w:p w14:paraId="661953EA" w14:textId="094AFB44" w:rsidR="003317F9" w:rsidRPr="00471E5F" w:rsidRDefault="003317F9" w:rsidP="003317F9">
            <w:r w:rsidRPr="003317F9">
              <w:t>Change to Office/R&amp;D (6 stories) from Agriculture and General Industrial</w:t>
            </w:r>
          </w:p>
        </w:tc>
        <w:tc>
          <w:tcPr>
            <w:tcW w:w="2340" w:type="dxa"/>
            <w:shd w:val="clear" w:color="auto" w:fill="FFFF99"/>
          </w:tcPr>
          <w:p w14:paraId="74B520C1" w14:textId="60C189B9" w:rsidR="003317F9" w:rsidRDefault="0027607D">
            <w:r>
              <w:t>52.63%</w:t>
            </w:r>
          </w:p>
        </w:tc>
        <w:tc>
          <w:tcPr>
            <w:tcW w:w="2785" w:type="dxa"/>
            <w:vMerge/>
          </w:tcPr>
          <w:p w14:paraId="63B689C4" w14:textId="77777777" w:rsidR="003317F9" w:rsidRDefault="003317F9"/>
        </w:tc>
      </w:tr>
      <w:tr w:rsidR="0027607D" w14:paraId="2FD5CC55" w14:textId="77777777" w:rsidTr="720B1966">
        <w:tc>
          <w:tcPr>
            <w:tcW w:w="13157" w:type="dxa"/>
            <w:gridSpan w:val="5"/>
            <w:shd w:val="clear" w:color="auto" w:fill="D9D9D9" w:themeFill="background1" w:themeFillShade="D9"/>
          </w:tcPr>
          <w:p w14:paraId="63F7ADDC" w14:textId="6F32E690" w:rsidR="0027607D" w:rsidRDefault="0027607D">
            <w:r w:rsidRPr="006E730E">
              <w:rPr>
                <w:b/>
                <w:bCs/>
                <w:i/>
                <w:iCs/>
              </w:rPr>
              <w:t>Eastside</w:t>
            </w:r>
          </w:p>
        </w:tc>
      </w:tr>
      <w:tr w:rsidR="003317F9" w14:paraId="7B1D52DF" w14:textId="77777777" w:rsidTr="720B1966">
        <w:trPr>
          <w:gridAfter w:val="1"/>
          <w:wAfter w:w="27" w:type="dxa"/>
        </w:trPr>
        <w:tc>
          <w:tcPr>
            <w:tcW w:w="2785" w:type="dxa"/>
          </w:tcPr>
          <w:p w14:paraId="5611559E" w14:textId="409DFF8E" w:rsidR="003317F9" w:rsidRDefault="00A835A1">
            <w:r>
              <w:t xml:space="preserve">High Level Direction </w:t>
            </w:r>
          </w:p>
        </w:tc>
        <w:tc>
          <w:tcPr>
            <w:tcW w:w="5220" w:type="dxa"/>
          </w:tcPr>
          <w:p w14:paraId="720E6A7C" w14:textId="6D991A60" w:rsidR="003317F9" w:rsidRPr="00471E5F" w:rsidRDefault="00A835A1">
            <w:r w:rsidRPr="00A835A1">
              <w:t>Ventura has several strip-commercial shopping centers located east of Kimball Road. The vision for these areas is neighborhood centers with a mix of retail/commercial uses and residential uses in 4-story buildings (reduced from 6 stories). This would encourage housing while also preserving vital retail and services for</w:t>
            </w:r>
            <w:r>
              <w:t xml:space="preserve"> </w:t>
            </w:r>
            <w:r w:rsidRPr="00A835A1">
              <w:t>Eastside residents.</w:t>
            </w:r>
          </w:p>
        </w:tc>
        <w:tc>
          <w:tcPr>
            <w:tcW w:w="2340" w:type="dxa"/>
            <w:shd w:val="clear" w:color="auto" w:fill="E2EFD9" w:themeFill="accent6" w:themeFillTint="33"/>
          </w:tcPr>
          <w:p w14:paraId="2E17F9F4" w14:textId="587F7757" w:rsidR="003317F9" w:rsidRDefault="00A835A1">
            <w:r>
              <w:t>68.1%</w:t>
            </w:r>
          </w:p>
        </w:tc>
        <w:tc>
          <w:tcPr>
            <w:tcW w:w="2785" w:type="dxa"/>
            <w:vMerge w:val="restart"/>
          </w:tcPr>
          <w:p w14:paraId="68DCD67C" w14:textId="105454ED" w:rsidR="003317F9" w:rsidRDefault="490F3B3C">
            <w:r>
              <w:t>The PC agreed with the GPAC’s recommendation. The vote was 7-0.</w:t>
            </w:r>
          </w:p>
        </w:tc>
      </w:tr>
      <w:tr w:rsidR="0027607D" w14:paraId="60712396" w14:textId="77777777" w:rsidTr="720B1966">
        <w:trPr>
          <w:gridAfter w:val="1"/>
          <w:wAfter w:w="27" w:type="dxa"/>
        </w:trPr>
        <w:tc>
          <w:tcPr>
            <w:tcW w:w="2785" w:type="dxa"/>
          </w:tcPr>
          <w:p w14:paraId="20162A61" w14:textId="77777777" w:rsidR="009D4FF9" w:rsidRPr="009D4FF9" w:rsidRDefault="009D4FF9" w:rsidP="009D4FF9">
            <w:r>
              <w:t xml:space="preserve">1. </w:t>
            </w:r>
            <w:r w:rsidRPr="009D4FF9">
              <w:t>Shopping Centers</w:t>
            </w:r>
          </w:p>
          <w:p w14:paraId="5A75E648" w14:textId="5BACF785" w:rsidR="0027607D" w:rsidRDefault="0027607D"/>
        </w:tc>
        <w:tc>
          <w:tcPr>
            <w:tcW w:w="5220" w:type="dxa"/>
          </w:tcPr>
          <w:p w14:paraId="78102E65" w14:textId="37198850" w:rsidR="0027607D" w:rsidRPr="00471E5F" w:rsidRDefault="009D4FF9" w:rsidP="009D4FF9">
            <w:r w:rsidRPr="009D4FF9">
              <w:t>Change to Neighborhood Center (3 stories) from Mixed Use 6 (6 stories)</w:t>
            </w:r>
          </w:p>
        </w:tc>
        <w:tc>
          <w:tcPr>
            <w:tcW w:w="2340" w:type="dxa"/>
            <w:shd w:val="clear" w:color="auto" w:fill="E2EFD9" w:themeFill="accent6" w:themeFillTint="33"/>
          </w:tcPr>
          <w:p w14:paraId="1FD0DB85" w14:textId="7445DBEB" w:rsidR="0027607D" w:rsidRDefault="009D4FF9">
            <w:r>
              <w:t>75.74%</w:t>
            </w:r>
          </w:p>
        </w:tc>
        <w:tc>
          <w:tcPr>
            <w:tcW w:w="2785" w:type="dxa"/>
            <w:vMerge/>
          </w:tcPr>
          <w:p w14:paraId="2A82367D" w14:textId="77777777" w:rsidR="0027607D" w:rsidRDefault="0027607D"/>
        </w:tc>
      </w:tr>
      <w:tr w:rsidR="0027607D" w14:paraId="19206B91" w14:textId="77777777" w:rsidTr="720B1966">
        <w:trPr>
          <w:gridAfter w:val="1"/>
          <w:wAfter w:w="27" w:type="dxa"/>
        </w:trPr>
        <w:tc>
          <w:tcPr>
            <w:tcW w:w="2785" w:type="dxa"/>
          </w:tcPr>
          <w:p w14:paraId="41CEC7CF" w14:textId="1D7DBB2A" w:rsidR="0027607D" w:rsidRDefault="009D4FF9">
            <w:r>
              <w:t xml:space="preserve">2. </w:t>
            </w:r>
            <w:r w:rsidRPr="009D4FF9">
              <w:t>Agricultural Parcel on SR-126/Wells</w:t>
            </w:r>
          </w:p>
        </w:tc>
        <w:tc>
          <w:tcPr>
            <w:tcW w:w="5220" w:type="dxa"/>
          </w:tcPr>
          <w:p w14:paraId="34D42937" w14:textId="457A3CCD" w:rsidR="0027607D" w:rsidRPr="00471E5F" w:rsidRDefault="009D4FF9" w:rsidP="009D4FF9">
            <w:r w:rsidRPr="009D4FF9">
              <w:t>Change to Neighborhood Center (4 stories) from Mixed Use 3 (3 stories)</w:t>
            </w:r>
          </w:p>
        </w:tc>
        <w:tc>
          <w:tcPr>
            <w:tcW w:w="2340" w:type="dxa"/>
            <w:shd w:val="clear" w:color="auto" w:fill="E2EFD9" w:themeFill="accent6" w:themeFillTint="33"/>
          </w:tcPr>
          <w:p w14:paraId="4A3DF4BA" w14:textId="43AA5F02" w:rsidR="0027607D" w:rsidRDefault="009D4FF9">
            <w:r>
              <w:t>60.07%</w:t>
            </w:r>
          </w:p>
        </w:tc>
        <w:tc>
          <w:tcPr>
            <w:tcW w:w="2785" w:type="dxa"/>
            <w:vMerge/>
          </w:tcPr>
          <w:p w14:paraId="45E263EE" w14:textId="77777777" w:rsidR="0027607D" w:rsidRDefault="0027607D"/>
        </w:tc>
      </w:tr>
      <w:tr w:rsidR="009D4FF9" w14:paraId="2B3ACF33" w14:textId="77777777" w:rsidTr="720B1966">
        <w:tc>
          <w:tcPr>
            <w:tcW w:w="13157" w:type="dxa"/>
            <w:gridSpan w:val="5"/>
            <w:shd w:val="clear" w:color="auto" w:fill="D9D9D9" w:themeFill="background1" w:themeFillShade="D9"/>
          </w:tcPr>
          <w:p w14:paraId="5814A640" w14:textId="19F0F34F" w:rsidR="009D4FF9" w:rsidRDefault="009D4FF9">
            <w:r w:rsidRPr="006E730E">
              <w:rPr>
                <w:b/>
                <w:bCs/>
                <w:i/>
                <w:iCs/>
              </w:rPr>
              <w:t>College</w:t>
            </w:r>
          </w:p>
        </w:tc>
      </w:tr>
      <w:tr w:rsidR="003317F9" w14:paraId="1062A97A" w14:textId="77777777" w:rsidTr="720B1966">
        <w:trPr>
          <w:gridAfter w:val="1"/>
          <w:wAfter w:w="27" w:type="dxa"/>
        </w:trPr>
        <w:tc>
          <w:tcPr>
            <w:tcW w:w="2785" w:type="dxa"/>
          </w:tcPr>
          <w:p w14:paraId="4F7208ED" w14:textId="753830EC" w:rsidR="003317F9" w:rsidRDefault="009D4FF9">
            <w:r>
              <w:t>High Level Direction</w:t>
            </w:r>
          </w:p>
        </w:tc>
        <w:tc>
          <w:tcPr>
            <w:tcW w:w="5220" w:type="dxa"/>
          </w:tcPr>
          <w:p w14:paraId="64CD4017" w14:textId="115F054D" w:rsidR="003317F9" w:rsidRPr="00471E5F" w:rsidRDefault="009D4FF9">
            <w:r w:rsidRPr="009D4FF9">
              <w:t>The area just east and west of VCC on Telegraph, Day and Ashwood is envisioned as a “college district” with a diverse mix of land uses including retail, entertainment, and housing. Building heights will range from 3 to 5 stories, which is an increase for some portions of the area.</w:t>
            </w:r>
          </w:p>
        </w:tc>
        <w:tc>
          <w:tcPr>
            <w:tcW w:w="2340" w:type="dxa"/>
            <w:shd w:val="clear" w:color="auto" w:fill="F7A09B"/>
          </w:tcPr>
          <w:p w14:paraId="3120A3F3" w14:textId="35D23689" w:rsidR="003317F9" w:rsidRDefault="009D4FF9">
            <w:r>
              <w:t>36.9%</w:t>
            </w:r>
          </w:p>
        </w:tc>
        <w:tc>
          <w:tcPr>
            <w:tcW w:w="2785" w:type="dxa"/>
            <w:vMerge w:val="restart"/>
          </w:tcPr>
          <w:p w14:paraId="20216240" w14:textId="20A1D0B7" w:rsidR="003317F9" w:rsidRDefault="0F773D32">
            <w:r>
              <w:t xml:space="preserve">The PC agreed with the GPAC direction for Areas 1 and 4 with a 7-0 vote. </w:t>
            </w:r>
          </w:p>
          <w:p w14:paraId="660A3407" w14:textId="073D3649" w:rsidR="003317F9" w:rsidRDefault="003317F9"/>
          <w:p w14:paraId="1FB88F1D" w14:textId="4A62D7E1" w:rsidR="003317F9" w:rsidRDefault="0F773D32">
            <w:r>
              <w:t xml:space="preserve">The </w:t>
            </w:r>
            <w:r w:rsidR="5A414FF2">
              <w:t>PC</w:t>
            </w:r>
            <w:r>
              <w:t xml:space="preserve"> agreed with the GPAC direction for Area 2 with a 5-2 vote.</w:t>
            </w:r>
          </w:p>
          <w:p w14:paraId="15EAF0CE" w14:textId="038A9F60" w:rsidR="003317F9" w:rsidRDefault="003317F9" w:rsidP="720B1966"/>
          <w:p w14:paraId="4C3E62D7" w14:textId="2DE8BF87" w:rsidR="003317F9" w:rsidRDefault="75BE6F9C" w:rsidP="720B1966">
            <w:r>
              <w:t xml:space="preserve">The </w:t>
            </w:r>
            <w:r w:rsidR="68F0C36D">
              <w:t>PC did not agree with the GPAC recommendation for Area 3. The PC recommended that this area be changed to Mixed Use 4. The vote was 5-2.</w:t>
            </w:r>
          </w:p>
        </w:tc>
      </w:tr>
      <w:tr w:rsidR="009D4FF9" w14:paraId="6B2290FF" w14:textId="77777777" w:rsidTr="720B1966">
        <w:trPr>
          <w:gridAfter w:val="1"/>
          <w:wAfter w:w="27" w:type="dxa"/>
        </w:trPr>
        <w:tc>
          <w:tcPr>
            <w:tcW w:w="2785" w:type="dxa"/>
          </w:tcPr>
          <w:p w14:paraId="4286990F" w14:textId="715584C9" w:rsidR="009D4FF9" w:rsidRDefault="009D4FF9">
            <w:r>
              <w:t xml:space="preserve">1. </w:t>
            </w:r>
            <w:r w:rsidRPr="009D4FF9">
              <w:t>Victoria Plaza Shopping Center</w:t>
            </w:r>
          </w:p>
        </w:tc>
        <w:tc>
          <w:tcPr>
            <w:tcW w:w="5220" w:type="dxa"/>
          </w:tcPr>
          <w:p w14:paraId="40AAA79F" w14:textId="78D41398" w:rsidR="009D4FF9" w:rsidRPr="00471E5F" w:rsidRDefault="009D4FF9">
            <w:r w:rsidRPr="009D4FF9">
              <w:t>Change to Neighborhood Center (4 stories) from Mixed Use 6 (6 stories)</w:t>
            </w:r>
          </w:p>
        </w:tc>
        <w:tc>
          <w:tcPr>
            <w:tcW w:w="2340" w:type="dxa"/>
            <w:shd w:val="clear" w:color="auto" w:fill="E2EFD9" w:themeFill="accent6" w:themeFillTint="33"/>
          </w:tcPr>
          <w:p w14:paraId="6DED4A10" w14:textId="012D5F4B" w:rsidR="009D4FF9" w:rsidRDefault="009D4FF9">
            <w:r>
              <w:t>75.5%</w:t>
            </w:r>
          </w:p>
        </w:tc>
        <w:tc>
          <w:tcPr>
            <w:tcW w:w="2785" w:type="dxa"/>
            <w:vMerge/>
          </w:tcPr>
          <w:p w14:paraId="433F36B5" w14:textId="77777777" w:rsidR="009D4FF9" w:rsidRDefault="009D4FF9"/>
        </w:tc>
      </w:tr>
      <w:tr w:rsidR="009D4FF9" w14:paraId="581DA9E7" w14:textId="77777777" w:rsidTr="720B1966">
        <w:trPr>
          <w:gridAfter w:val="1"/>
          <w:wAfter w:w="27" w:type="dxa"/>
        </w:trPr>
        <w:tc>
          <w:tcPr>
            <w:tcW w:w="2785" w:type="dxa"/>
          </w:tcPr>
          <w:p w14:paraId="38778D5D" w14:textId="6C1DA1FD" w:rsidR="009D4FF9" w:rsidRDefault="009D4FF9">
            <w:r>
              <w:t xml:space="preserve">2. </w:t>
            </w:r>
            <w:r w:rsidRPr="009D4FF9">
              <w:t>Single Family Parcels on Telegraph and Day</w:t>
            </w:r>
          </w:p>
        </w:tc>
        <w:tc>
          <w:tcPr>
            <w:tcW w:w="5220" w:type="dxa"/>
          </w:tcPr>
          <w:p w14:paraId="5D76F73C" w14:textId="47DC50C9" w:rsidR="009D4FF9" w:rsidRPr="00471E5F" w:rsidRDefault="009D4FF9">
            <w:r w:rsidRPr="009D4FF9">
              <w:t>Change to 3-story Multifamily from Neighborhood Low</w:t>
            </w:r>
          </w:p>
        </w:tc>
        <w:tc>
          <w:tcPr>
            <w:tcW w:w="2340" w:type="dxa"/>
            <w:shd w:val="clear" w:color="auto" w:fill="E2EFD9" w:themeFill="accent6" w:themeFillTint="33"/>
          </w:tcPr>
          <w:p w14:paraId="37F79975" w14:textId="74703F07" w:rsidR="009D4FF9" w:rsidRDefault="009D4FF9">
            <w:r>
              <w:t>59.74%</w:t>
            </w:r>
          </w:p>
        </w:tc>
        <w:tc>
          <w:tcPr>
            <w:tcW w:w="2785" w:type="dxa"/>
            <w:vMerge/>
          </w:tcPr>
          <w:p w14:paraId="30C6DD1F" w14:textId="77777777" w:rsidR="009D4FF9" w:rsidRDefault="009D4FF9"/>
        </w:tc>
      </w:tr>
      <w:tr w:rsidR="009D4FF9" w14:paraId="43A06990" w14:textId="77777777" w:rsidTr="720B1966">
        <w:trPr>
          <w:gridAfter w:val="1"/>
          <w:wAfter w:w="27" w:type="dxa"/>
        </w:trPr>
        <w:tc>
          <w:tcPr>
            <w:tcW w:w="2785" w:type="dxa"/>
          </w:tcPr>
          <w:p w14:paraId="7291F9C7" w14:textId="02D4C2D3" w:rsidR="009D4FF9" w:rsidRDefault="009D4FF9">
            <w:r>
              <w:t xml:space="preserve">3. </w:t>
            </w:r>
            <w:r w:rsidRPr="009D4FF9">
              <w:t>Area West of VCC</w:t>
            </w:r>
          </w:p>
        </w:tc>
        <w:tc>
          <w:tcPr>
            <w:tcW w:w="5220" w:type="dxa"/>
          </w:tcPr>
          <w:p w14:paraId="65283489" w14:textId="011E197C" w:rsidR="009D4FF9" w:rsidRPr="00471E5F" w:rsidRDefault="009D4FF9" w:rsidP="009D4FF9">
            <w:r w:rsidRPr="009D4FF9">
              <w:t>Change to Mixed Use 5 (5 stories) from Mixed Use 3 (3 stories)</w:t>
            </w:r>
          </w:p>
        </w:tc>
        <w:tc>
          <w:tcPr>
            <w:tcW w:w="2340" w:type="dxa"/>
            <w:shd w:val="clear" w:color="auto" w:fill="F7A09B"/>
          </w:tcPr>
          <w:p w14:paraId="527465AD" w14:textId="5EC48293" w:rsidR="009D4FF9" w:rsidRDefault="009D4FF9">
            <w:r>
              <w:t>35.74%</w:t>
            </w:r>
          </w:p>
        </w:tc>
        <w:tc>
          <w:tcPr>
            <w:tcW w:w="2785" w:type="dxa"/>
            <w:vMerge/>
          </w:tcPr>
          <w:p w14:paraId="566D8BFE" w14:textId="77777777" w:rsidR="009D4FF9" w:rsidRDefault="009D4FF9"/>
        </w:tc>
      </w:tr>
      <w:tr w:rsidR="009D4FF9" w14:paraId="62144E27" w14:textId="77777777" w:rsidTr="720B1966">
        <w:trPr>
          <w:gridAfter w:val="1"/>
          <w:wAfter w:w="27" w:type="dxa"/>
        </w:trPr>
        <w:tc>
          <w:tcPr>
            <w:tcW w:w="2785" w:type="dxa"/>
          </w:tcPr>
          <w:p w14:paraId="35736C0E" w14:textId="0C207EB2" w:rsidR="009D4FF9" w:rsidRDefault="009D4FF9">
            <w:r>
              <w:t xml:space="preserve">4. </w:t>
            </w:r>
            <w:r w:rsidRPr="009D4FF9">
              <w:t>Parcels on South Side of Telegraph</w:t>
            </w:r>
          </w:p>
        </w:tc>
        <w:tc>
          <w:tcPr>
            <w:tcW w:w="5220" w:type="dxa"/>
          </w:tcPr>
          <w:p w14:paraId="28051740" w14:textId="55A936C6" w:rsidR="009D4FF9" w:rsidRPr="00471E5F" w:rsidRDefault="009D4FF9">
            <w:r w:rsidRPr="009D4FF9">
              <w:t>Change to Mixed Use 3 (3 stories) from 3 Story Multifamily and Neighborhood Low</w:t>
            </w:r>
          </w:p>
        </w:tc>
        <w:tc>
          <w:tcPr>
            <w:tcW w:w="2340" w:type="dxa"/>
            <w:shd w:val="clear" w:color="auto" w:fill="FFFF99"/>
          </w:tcPr>
          <w:p w14:paraId="6659B4A2" w14:textId="7DAD2EE3" w:rsidR="009D4FF9" w:rsidRDefault="009D4FF9">
            <w:r>
              <w:t>49.01%</w:t>
            </w:r>
          </w:p>
        </w:tc>
        <w:tc>
          <w:tcPr>
            <w:tcW w:w="2785" w:type="dxa"/>
            <w:vMerge/>
          </w:tcPr>
          <w:p w14:paraId="1A73A882" w14:textId="77777777" w:rsidR="009D4FF9" w:rsidRDefault="009D4FF9"/>
        </w:tc>
      </w:tr>
      <w:tr w:rsidR="003208D7" w14:paraId="7F0F496F" w14:textId="77777777" w:rsidTr="720B1966">
        <w:tc>
          <w:tcPr>
            <w:tcW w:w="13157" w:type="dxa"/>
            <w:gridSpan w:val="5"/>
            <w:shd w:val="clear" w:color="auto" w:fill="D9D9D9" w:themeFill="background1" w:themeFillShade="D9"/>
          </w:tcPr>
          <w:p w14:paraId="4CCD67AE" w14:textId="665A0DD4" w:rsidR="003208D7" w:rsidRDefault="003208D7">
            <w:r w:rsidRPr="006E730E">
              <w:rPr>
                <w:b/>
                <w:bCs/>
                <w:i/>
                <w:iCs/>
              </w:rPr>
              <w:t>Victoria</w:t>
            </w:r>
          </w:p>
        </w:tc>
      </w:tr>
      <w:tr w:rsidR="009D4FF9" w14:paraId="0D79AE7C" w14:textId="77777777" w:rsidTr="720B1966">
        <w:trPr>
          <w:gridAfter w:val="1"/>
          <w:wAfter w:w="27" w:type="dxa"/>
        </w:trPr>
        <w:tc>
          <w:tcPr>
            <w:tcW w:w="2785" w:type="dxa"/>
          </w:tcPr>
          <w:p w14:paraId="46775E90" w14:textId="6A7FB70B" w:rsidR="009D4FF9" w:rsidRDefault="003208D7">
            <w:r>
              <w:t>High Level Direction</w:t>
            </w:r>
          </w:p>
        </w:tc>
        <w:tc>
          <w:tcPr>
            <w:tcW w:w="5220" w:type="dxa"/>
          </w:tcPr>
          <w:p w14:paraId="6C738AA2" w14:textId="2053EE54" w:rsidR="009D4FF9" w:rsidRPr="00471E5F" w:rsidRDefault="008E5870">
            <w:r w:rsidRPr="008E5870">
              <w:t>The Victoria corridor will continue as a mixed-use area with a diversity of office, multi-family housing, and regional retail uses. Most of the area will keep its current land uses but the area south and east of the County Government Center will now allow mixed-use and multi-family housing with heights between 4 and 6 stories (which is consistent</w:t>
            </w:r>
            <w:r>
              <w:t xml:space="preserve"> </w:t>
            </w:r>
            <w:r w:rsidRPr="008E5870">
              <w:t>with the heights in the rest of the area).</w:t>
            </w:r>
          </w:p>
        </w:tc>
        <w:tc>
          <w:tcPr>
            <w:tcW w:w="2340" w:type="dxa"/>
            <w:shd w:val="clear" w:color="auto" w:fill="FFFF99"/>
          </w:tcPr>
          <w:p w14:paraId="279A5E44" w14:textId="2F60F78C" w:rsidR="009D4FF9" w:rsidRDefault="008E5870">
            <w:r>
              <w:t>52.09%</w:t>
            </w:r>
          </w:p>
        </w:tc>
        <w:tc>
          <w:tcPr>
            <w:tcW w:w="2785" w:type="dxa"/>
            <w:vMerge w:val="restart"/>
          </w:tcPr>
          <w:p w14:paraId="76BF24A2" w14:textId="52E4360F" w:rsidR="009D4FF9" w:rsidRDefault="217B4AA5">
            <w:r>
              <w:t>The PC agreed with the GPAC’s recommendations for all areas in Victoria. The votes were as follows:</w:t>
            </w:r>
          </w:p>
          <w:p w14:paraId="2D954DE9" w14:textId="1FA98242" w:rsidR="009D4FF9" w:rsidRDefault="217B4AA5" w:rsidP="720B1966">
            <w:pPr>
              <w:pStyle w:val="ListParagraph"/>
              <w:numPr>
                <w:ilvl w:val="0"/>
                <w:numId w:val="1"/>
              </w:numPr>
            </w:pPr>
            <w:r>
              <w:t>Area 1: 7-0</w:t>
            </w:r>
          </w:p>
          <w:p w14:paraId="315FF7DB" w14:textId="053BBF96" w:rsidR="009D4FF9" w:rsidRDefault="217B4AA5" w:rsidP="720B1966">
            <w:pPr>
              <w:pStyle w:val="ListParagraph"/>
              <w:numPr>
                <w:ilvl w:val="0"/>
                <w:numId w:val="1"/>
              </w:numPr>
            </w:pPr>
            <w:r>
              <w:t>Area 2: 5-2</w:t>
            </w:r>
          </w:p>
          <w:p w14:paraId="0C2E43E8" w14:textId="5EC0CEA7" w:rsidR="009D4FF9" w:rsidRDefault="217B4AA5" w:rsidP="720B1966">
            <w:pPr>
              <w:pStyle w:val="ListParagraph"/>
              <w:numPr>
                <w:ilvl w:val="0"/>
                <w:numId w:val="1"/>
              </w:numPr>
            </w:pPr>
            <w:r>
              <w:t>Area 3: 6-1</w:t>
            </w:r>
          </w:p>
          <w:p w14:paraId="41BA9CB9" w14:textId="393D139A" w:rsidR="009D4FF9" w:rsidRDefault="217B4AA5" w:rsidP="720B1966">
            <w:pPr>
              <w:pStyle w:val="ListParagraph"/>
              <w:numPr>
                <w:ilvl w:val="0"/>
                <w:numId w:val="1"/>
              </w:numPr>
            </w:pPr>
            <w:r>
              <w:t>Area 4; 7-0</w:t>
            </w:r>
          </w:p>
          <w:p w14:paraId="681F2274" w14:textId="04C8F34F" w:rsidR="009D4FF9" w:rsidRDefault="217B4AA5" w:rsidP="720B1966">
            <w:pPr>
              <w:pStyle w:val="ListParagraph"/>
              <w:numPr>
                <w:ilvl w:val="0"/>
                <w:numId w:val="1"/>
              </w:numPr>
            </w:pPr>
            <w:r>
              <w:t>Area 5: 7-0</w:t>
            </w:r>
          </w:p>
        </w:tc>
      </w:tr>
      <w:tr w:rsidR="009D4FF9" w14:paraId="1257A791" w14:textId="77777777" w:rsidTr="720B1966">
        <w:trPr>
          <w:gridAfter w:val="1"/>
          <w:wAfter w:w="27" w:type="dxa"/>
        </w:trPr>
        <w:tc>
          <w:tcPr>
            <w:tcW w:w="2785" w:type="dxa"/>
          </w:tcPr>
          <w:p w14:paraId="474998C8" w14:textId="6546CC53" w:rsidR="009D4FF9" w:rsidRDefault="008E5870">
            <w:r>
              <w:t xml:space="preserve">1. </w:t>
            </w:r>
            <w:r w:rsidR="005A4D49" w:rsidRPr="005A4D49">
              <w:t>Parcels East of Government Center</w:t>
            </w:r>
          </w:p>
        </w:tc>
        <w:tc>
          <w:tcPr>
            <w:tcW w:w="5220" w:type="dxa"/>
          </w:tcPr>
          <w:p w14:paraId="6D771043" w14:textId="102B6807" w:rsidR="009D4FF9" w:rsidRPr="00471E5F" w:rsidRDefault="005A4D49" w:rsidP="005A4D49">
            <w:r w:rsidRPr="005A4D49">
              <w:t>Change to Mixed Use 4 (4 stories) from Commercial</w:t>
            </w:r>
          </w:p>
        </w:tc>
        <w:tc>
          <w:tcPr>
            <w:tcW w:w="2340" w:type="dxa"/>
            <w:shd w:val="clear" w:color="auto" w:fill="F7A09B"/>
          </w:tcPr>
          <w:p w14:paraId="0BB7D1DB" w14:textId="78EE8DF5" w:rsidR="009D4FF9" w:rsidRDefault="005A4D49">
            <w:r>
              <w:t>44.59%</w:t>
            </w:r>
          </w:p>
        </w:tc>
        <w:tc>
          <w:tcPr>
            <w:tcW w:w="2785" w:type="dxa"/>
            <w:vMerge/>
          </w:tcPr>
          <w:p w14:paraId="25FA673F" w14:textId="77777777" w:rsidR="009D4FF9" w:rsidRDefault="009D4FF9"/>
        </w:tc>
      </w:tr>
      <w:tr w:rsidR="009D4FF9" w14:paraId="42136A84" w14:textId="77777777" w:rsidTr="720B1966">
        <w:trPr>
          <w:gridAfter w:val="1"/>
          <w:wAfter w:w="27" w:type="dxa"/>
        </w:trPr>
        <w:tc>
          <w:tcPr>
            <w:tcW w:w="2785" w:type="dxa"/>
          </w:tcPr>
          <w:p w14:paraId="0CF064E3" w14:textId="0C979A07" w:rsidR="009D4FF9" w:rsidRDefault="008E5870">
            <w:r>
              <w:t xml:space="preserve">2. </w:t>
            </w:r>
            <w:r w:rsidR="005A4D49" w:rsidRPr="005A4D49">
              <w:t>Parcels South of Government Center</w:t>
            </w:r>
          </w:p>
        </w:tc>
        <w:tc>
          <w:tcPr>
            <w:tcW w:w="5220" w:type="dxa"/>
          </w:tcPr>
          <w:p w14:paraId="7D5B0A37" w14:textId="6AB1B485" w:rsidR="009D4FF9" w:rsidRPr="00471E5F" w:rsidRDefault="005A4D49" w:rsidP="005A4D49">
            <w:r w:rsidRPr="005A4D49">
              <w:t>Change to 4 Story Multifamily from Neighborhood Low</w:t>
            </w:r>
          </w:p>
        </w:tc>
        <w:tc>
          <w:tcPr>
            <w:tcW w:w="2340" w:type="dxa"/>
            <w:shd w:val="clear" w:color="auto" w:fill="F7A09B"/>
          </w:tcPr>
          <w:p w14:paraId="28A3D133" w14:textId="2939CE34" w:rsidR="009D4FF9" w:rsidRDefault="005A4D49">
            <w:r>
              <w:t>36.6</w:t>
            </w:r>
            <w:r w:rsidR="00055B22">
              <w:t>0</w:t>
            </w:r>
            <w:r>
              <w:t>%</w:t>
            </w:r>
          </w:p>
        </w:tc>
        <w:tc>
          <w:tcPr>
            <w:tcW w:w="2785" w:type="dxa"/>
            <w:vMerge/>
          </w:tcPr>
          <w:p w14:paraId="2F9D56B0" w14:textId="77777777" w:rsidR="009D4FF9" w:rsidRDefault="009D4FF9"/>
        </w:tc>
      </w:tr>
      <w:tr w:rsidR="009D4FF9" w14:paraId="7F9298B1" w14:textId="77777777" w:rsidTr="720B1966">
        <w:trPr>
          <w:gridAfter w:val="1"/>
          <w:wAfter w:w="27" w:type="dxa"/>
        </w:trPr>
        <w:tc>
          <w:tcPr>
            <w:tcW w:w="2785" w:type="dxa"/>
          </w:tcPr>
          <w:p w14:paraId="36E5B9CC" w14:textId="146AE7D7" w:rsidR="009D4FF9" w:rsidRDefault="008E5870">
            <w:r>
              <w:t xml:space="preserve">3. </w:t>
            </w:r>
            <w:r w:rsidR="005A4D49" w:rsidRPr="005A4D49">
              <w:t>Parcels at Corner of Victoria and Telephone</w:t>
            </w:r>
          </w:p>
        </w:tc>
        <w:tc>
          <w:tcPr>
            <w:tcW w:w="5220" w:type="dxa"/>
          </w:tcPr>
          <w:p w14:paraId="26158F58" w14:textId="0DF2DF98" w:rsidR="009D4FF9" w:rsidRPr="00471E5F" w:rsidRDefault="005A4D49" w:rsidP="005A4D49">
            <w:r w:rsidRPr="005A4D49">
              <w:t>Change to Mixed Use 6 (6 stories) from Office/R&amp;D (6 stories)</w:t>
            </w:r>
          </w:p>
        </w:tc>
        <w:tc>
          <w:tcPr>
            <w:tcW w:w="2340" w:type="dxa"/>
            <w:shd w:val="clear" w:color="auto" w:fill="FFFF99"/>
          </w:tcPr>
          <w:p w14:paraId="2428DA58" w14:textId="227C0E08" w:rsidR="009D4FF9" w:rsidRDefault="005A4D49">
            <w:r>
              <w:t>59.21%</w:t>
            </w:r>
          </w:p>
        </w:tc>
        <w:tc>
          <w:tcPr>
            <w:tcW w:w="2785" w:type="dxa"/>
            <w:vMerge/>
          </w:tcPr>
          <w:p w14:paraId="4E4D1E5C" w14:textId="77777777" w:rsidR="009D4FF9" w:rsidRDefault="009D4FF9"/>
        </w:tc>
      </w:tr>
      <w:tr w:rsidR="009D4FF9" w14:paraId="18306C12" w14:textId="77777777" w:rsidTr="720B1966">
        <w:trPr>
          <w:gridAfter w:val="1"/>
          <w:wAfter w:w="27" w:type="dxa"/>
        </w:trPr>
        <w:tc>
          <w:tcPr>
            <w:tcW w:w="2785" w:type="dxa"/>
          </w:tcPr>
          <w:p w14:paraId="25A612C3" w14:textId="4BEAF489" w:rsidR="009D4FF9" w:rsidRDefault="008E5870">
            <w:r>
              <w:t xml:space="preserve">4. </w:t>
            </w:r>
            <w:r w:rsidR="005A4D49" w:rsidRPr="005A4D49">
              <w:t>Moon Drive Overlay Area</w:t>
            </w:r>
          </w:p>
        </w:tc>
        <w:tc>
          <w:tcPr>
            <w:tcW w:w="5220" w:type="dxa"/>
          </w:tcPr>
          <w:p w14:paraId="6F2A7F9B" w14:textId="5438ED3F" w:rsidR="009D4FF9" w:rsidRPr="00471E5F" w:rsidRDefault="005A4D49" w:rsidP="005A4D49">
            <w:r w:rsidRPr="005A4D49">
              <w:t>Change to Mixed Use 3 (3 stories) from Mixed Use 6 (6 stories</w:t>
            </w:r>
          </w:p>
        </w:tc>
        <w:tc>
          <w:tcPr>
            <w:tcW w:w="2340" w:type="dxa"/>
            <w:shd w:val="clear" w:color="auto" w:fill="E2EFD9" w:themeFill="accent6" w:themeFillTint="33"/>
          </w:tcPr>
          <w:p w14:paraId="4C6E4310" w14:textId="758AAFFA" w:rsidR="009D4FF9" w:rsidRDefault="005A4D49">
            <w:r>
              <w:t>82.08%</w:t>
            </w:r>
          </w:p>
        </w:tc>
        <w:tc>
          <w:tcPr>
            <w:tcW w:w="2785" w:type="dxa"/>
            <w:vMerge/>
          </w:tcPr>
          <w:p w14:paraId="3D0F8A10" w14:textId="77777777" w:rsidR="009D4FF9" w:rsidRDefault="009D4FF9"/>
        </w:tc>
      </w:tr>
      <w:tr w:rsidR="009D4FF9" w14:paraId="4E81112C" w14:textId="77777777" w:rsidTr="720B1966">
        <w:trPr>
          <w:gridAfter w:val="1"/>
          <w:wAfter w:w="27" w:type="dxa"/>
        </w:trPr>
        <w:tc>
          <w:tcPr>
            <w:tcW w:w="2785" w:type="dxa"/>
          </w:tcPr>
          <w:p w14:paraId="5FE5549B" w14:textId="67798F5A" w:rsidR="009D4FF9" w:rsidRDefault="008E5870">
            <w:r>
              <w:t xml:space="preserve">5. </w:t>
            </w:r>
            <w:r w:rsidR="005A4D49" w:rsidRPr="005A4D49">
              <w:t>Gateway Shopping Center</w:t>
            </w:r>
          </w:p>
        </w:tc>
        <w:tc>
          <w:tcPr>
            <w:tcW w:w="5220" w:type="dxa"/>
          </w:tcPr>
          <w:p w14:paraId="7BEB9705" w14:textId="58EEC349" w:rsidR="009D4FF9" w:rsidRPr="00471E5F" w:rsidRDefault="005A4D49" w:rsidP="005A4D49">
            <w:r w:rsidRPr="005A4D49">
              <w:t>Change to Neighborhood Center (4 stories) from Commercial</w:t>
            </w:r>
          </w:p>
        </w:tc>
        <w:tc>
          <w:tcPr>
            <w:tcW w:w="2340" w:type="dxa"/>
            <w:shd w:val="clear" w:color="auto" w:fill="E2EFD9" w:themeFill="accent6" w:themeFillTint="33"/>
          </w:tcPr>
          <w:p w14:paraId="180D9D6B" w14:textId="45D0ADA5" w:rsidR="009D4FF9" w:rsidRDefault="005A4D49">
            <w:r>
              <w:t>62.42%</w:t>
            </w:r>
          </w:p>
        </w:tc>
        <w:tc>
          <w:tcPr>
            <w:tcW w:w="2785" w:type="dxa"/>
            <w:vMerge/>
          </w:tcPr>
          <w:p w14:paraId="5D5CDC6C" w14:textId="77777777" w:rsidR="009D4FF9" w:rsidRDefault="009D4FF9"/>
        </w:tc>
      </w:tr>
      <w:tr w:rsidR="005A4D49" w14:paraId="75091023" w14:textId="77777777" w:rsidTr="720B1966">
        <w:tc>
          <w:tcPr>
            <w:tcW w:w="13157" w:type="dxa"/>
            <w:gridSpan w:val="5"/>
            <w:shd w:val="clear" w:color="auto" w:fill="D9D9D9" w:themeFill="background1" w:themeFillShade="D9"/>
          </w:tcPr>
          <w:p w14:paraId="533D62ED" w14:textId="2DE918CE" w:rsidR="005A4D49" w:rsidRDefault="005A4D49">
            <w:r w:rsidRPr="006E730E">
              <w:rPr>
                <w:b/>
                <w:bCs/>
                <w:i/>
                <w:iCs/>
              </w:rPr>
              <w:t>Pierpont</w:t>
            </w:r>
          </w:p>
        </w:tc>
      </w:tr>
      <w:tr w:rsidR="008E5870" w14:paraId="627E3A6D" w14:textId="77777777" w:rsidTr="720B1966">
        <w:trPr>
          <w:gridAfter w:val="1"/>
          <w:wAfter w:w="27" w:type="dxa"/>
        </w:trPr>
        <w:tc>
          <w:tcPr>
            <w:tcW w:w="2785" w:type="dxa"/>
          </w:tcPr>
          <w:p w14:paraId="2A703C3C" w14:textId="0EA3CBEC" w:rsidR="008E5870" w:rsidRDefault="005A4D49">
            <w:r>
              <w:t>High Level Direction</w:t>
            </w:r>
          </w:p>
        </w:tc>
        <w:tc>
          <w:tcPr>
            <w:tcW w:w="5220" w:type="dxa"/>
          </w:tcPr>
          <w:p w14:paraId="2EC39F71" w14:textId="497FCF18" w:rsidR="008E5870" w:rsidRPr="00471E5F" w:rsidRDefault="00D74D7A">
            <w:r w:rsidRPr="00D74D7A">
              <w:t xml:space="preserve">The Pierpont area will maintain its current vision of a </w:t>
            </w:r>
            <w:proofErr w:type="gramStart"/>
            <w:r w:rsidRPr="00D74D7A">
              <w:t xml:space="preserve">beachfront </w:t>
            </w:r>
            <w:r>
              <w:t xml:space="preserve"> </w:t>
            </w:r>
            <w:r w:rsidRPr="00D74D7A">
              <w:t>community</w:t>
            </w:r>
            <w:proofErr w:type="gramEnd"/>
            <w:r w:rsidRPr="00D74D7A">
              <w:t xml:space="preserve"> with supporting residential, tourist-oriented retail, and commercial uses.</w:t>
            </w:r>
          </w:p>
        </w:tc>
        <w:tc>
          <w:tcPr>
            <w:tcW w:w="2340" w:type="dxa"/>
            <w:shd w:val="clear" w:color="auto" w:fill="E2EFD9" w:themeFill="accent6" w:themeFillTint="33"/>
          </w:tcPr>
          <w:p w14:paraId="21C87D22" w14:textId="66F17E4A" w:rsidR="008E5870" w:rsidRDefault="00D74D7A">
            <w:r>
              <w:t>84.12%</w:t>
            </w:r>
          </w:p>
        </w:tc>
        <w:tc>
          <w:tcPr>
            <w:tcW w:w="2785" w:type="dxa"/>
            <w:vMerge w:val="restart"/>
          </w:tcPr>
          <w:p w14:paraId="6DD056EC" w14:textId="772205EF" w:rsidR="008E5870" w:rsidRDefault="738CA602">
            <w:r>
              <w:t>The PC agreed with the GPAC recommendation for this area with a 7-0 vote.</w:t>
            </w:r>
          </w:p>
          <w:p w14:paraId="53467854" w14:textId="2962BA17" w:rsidR="008E5870" w:rsidRDefault="008E5870" w:rsidP="720B1966"/>
          <w:p w14:paraId="237534FB" w14:textId="048DC539" w:rsidR="008E5870" w:rsidRDefault="738CA602" w:rsidP="720B1966">
            <w:r>
              <w:t>The PC also recommended that a Specific Plan be developed for this area.</w:t>
            </w:r>
          </w:p>
        </w:tc>
      </w:tr>
      <w:tr w:rsidR="008E5870" w14:paraId="6121E3CD" w14:textId="77777777" w:rsidTr="720B1966">
        <w:trPr>
          <w:gridAfter w:val="1"/>
          <w:wAfter w:w="27" w:type="dxa"/>
        </w:trPr>
        <w:tc>
          <w:tcPr>
            <w:tcW w:w="2785" w:type="dxa"/>
          </w:tcPr>
          <w:p w14:paraId="357EF142" w14:textId="0BE2E3A5" w:rsidR="008E5870" w:rsidRDefault="005A4D49">
            <w:r>
              <w:t xml:space="preserve">1. </w:t>
            </w:r>
            <w:r w:rsidR="00D74D7A" w:rsidRPr="00D74D7A">
              <w:t>Marina Village Shopping Center</w:t>
            </w:r>
          </w:p>
        </w:tc>
        <w:tc>
          <w:tcPr>
            <w:tcW w:w="5220" w:type="dxa"/>
          </w:tcPr>
          <w:p w14:paraId="61FA48A4" w14:textId="7D7EF1A5" w:rsidR="008E5870" w:rsidRPr="00471E5F" w:rsidRDefault="00D74D7A" w:rsidP="00D74D7A">
            <w:r w:rsidRPr="00D74D7A">
              <w:t>Change to Neighborhood Center (4 stories) from Mixed Use 3 (3 stories)</w:t>
            </w:r>
          </w:p>
        </w:tc>
        <w:tc>
          <w:tcPr>
            <w:tcW w:w="2340" w:type="dxa"/>
            <w:shd w:val="clear" w:color="auto" w:fill="F7A09B"/>
          </w:tcPr>
          <w:p w14:paraId="59C1A959" w14:textId="474D976E" w:rsidR="008E5870" w:rsidRDefault="00D74D7A">
            <w:r>
              <w:t>34.41%</w:t>
            </w:r>
          </w:p>
        </w:tc>
        <w:tc>
          <w:tcPr>
            <w:tcW w:w="2785" w:type="dxa"/>
            <w:vMerge/>
          </w:tcPr>
          <w:p w14:paraId="758A9924" w14:textId="77777777" w:rsidR="008E5870" w:rsidRDefault="008E5870"/>
        </w:tc>
      </w:tr>
      <w:tr w:rsidR="005A4D49" w14:paraId="0DBC9F83" w14:textId="77777777" w:rsidTr="720B1966">
        <w:tc>
          <w:tcPr>
            <w:tcW w:w="13157" w:type="dxa"/>
            <w:gridSpan w:val="5"/>
            <w:shd w:val="clear" w:color="auto" w:fill="D9D9D9" w:themeFill="background1" w:themeFillShade="D9"/>
          </w:tcPr>
          <w:p w14:paraId="51F060C1" w14:textId="524F6D6A" w:rsidR="005A4D49" w:rsidRDefault="005A4D49">
            <w:r w:rsidRPr="006E730E">
              <w:rPr>
                <w:b/>
                <w:bCs/>
                <w:i/>
                <w:iCs/>
              </w:rPr>
              <w:t>Johnson</w:t>
            </w:r>
          </w:p>
        </w:tc>
      </w:tr>
      <w:tr w:rsidR="008E5870" w14:paraId="573611BE" w14:textId="77777777" w:rsidTr="720B1966">
        <w:trPr>
          <w:gridAfter w:val="1"/>
          <w:wAfter w:w="27" w:type="dxa"/>
        </w:trPr>
        <w:tc>
          <w:tcPr>
            <w:tcW w:w="2785" w:type="dxa"/>
          </w:tcPr>
          <w:p w14:paraId="0C640DB0" w14:textId="4941A41C" w:rsidR="008E5870" w:rsidRDefault="005A4D49">
            <w:r>
              <w:t>High Level Direction</w:t>
            </w:r>
          </w:p>
        </w:tc>
        <w:tc>
          <w:tcPr>
            <w:tcW w:w="5220" w:type="dxa"/>
          </w:tcPr>
          <w:p w14:paraId="756DC392" w14:textId="35DF1CE6" w:rsidR="008E5870" w:rsidRPr="00471E5F" w:rsidRDefault="005F59E7">
            <w:r w:rsidRPr="005F59E7">
              <w:t xml:space="preserve">The Johnson Area will keep evolving as a district with </w:t>
            </w:r>
            <w:r>
              <w:t xml:space="preserve">a </w:t>
            </w:r>
            <w:r w:rsidRPr="005F59E7">
              <w:t>diverse mix of industrial, retail, service-commercial, and residential uses. The vision includes allowing a mix of land uses on part of Johnson Drive (4stories tall), creating a mixed use "transit village" just south of the East Ventura Metrolink Station (5 stories tall), and preserving the eclectic mix of</w:t>
            </w:r>
            <w:r>
              <w:t xml:space="preserve"> </w:t>
            </w:r>
            <w:r w:rsidRPr="005F59E7">
              <w:t>employment uses along Sherwin Avenue, Beane Road, and Crescent</w:t>
            </w:r>
            <w:r>
              <w:t xml:space="preserve"> </w:t>
            </w:r>
            <w:r w:rsidRPr="005F59E7">
              <w:t>Street. Overall, the residential development capacity in the area will</w:t>
            </w:r>
            <w:r>
              <w:t xml:space="preserve"> </w:t>
            </w:r>
            <w:r w:rsidRPr="005F59E7">
              <w:t>increase while also preserving employment uses.</w:t>
            </w:r>
          </w:p>
        </w:tc>
        <w:tc>
          <w:tcPr>
            <w:tcW w:w="2340" w:type="dxa"/>
            <w:shd w:val="clear" w:color="auto" w:fill="FFFF99"/>
          </w:tcPr>
          <w:p w14:paraId="0EF49F72" w14:textId="59A349E6" w:rsidR="008E5870" w:rsidRDefault="005F59E7">
            <w:r>
              <w:t>49.18%</w:t>
            </w:r>
          </w:p>
        </w:tc>
        <w:tc>
          <w:tcPr>
            <w:tcW w:w="2785" w:type="dxa"/>
            <w:vMerge w:val="restart"/>
          </w:tcPr>
          <w:p w14:paraId="5DC858B2" w14:textId="7C9C62A5" w:rsidR="008E5870" w:rsidRDefault="7797E219">
            <w:r>
              <w:t>The PC agreed with the GPAC direction for Areas 1 and 3 with a 7-0 vot</w:t>
            </w:r>
            <w:r w:rsidR="3C198A84">
              <w:t>e.</w:t>
            </w:r>
          </w:p>
          <w:p w14:paraId="39591263" w14:textId="50A123ED" w:rsidR="008E5870" w:rsidRDefault="008E5870" w:rsidP="720B1966"/>
          <w:p w14:paraId="033D1905" w14:textId="12BE22D3" w:rsidR="008E5870" w:rsidRDefault="3C198A84" w:rsidP="720B1966">
            <w:r>
              <w:t xml:space="preserve">The PC provided a new recommendation </w:t>
            </w:r>
            <w:r w:rsidR="507AD255">
              <w:t xml:space="preserve">for Area 2. The recommendation is that the parcel on the East side of the area be changed to Light Industrial/Flex 3-story and the parcel on the West side of Area 2 be changed to Mixed Use 3. </w:t>
            </w:r>
          </w:p>
          <w:p w14:paraId="51B11F23" w14:textId="278E755E" w:rsidR="008E5870" w:rsidRDefault="008E5870" w:rsidP="720B1966"/>
          <w:p w14:paraId="5FA109CA" w14:textId="55DFF34F" w:rsidR="008E5870" w:rsidRDefault="507AD255" w:rsidP="720B1966">
            <w:r>
              <w:t>The PC also recommended that the Commercial and General Industrial Parcels on the north side of the Metrolink station be changed to Mixed Use 3.</w:t>
            </w:r>
          </w:p>
          <w:p w14:paraId="1BA55C27" w14:textId="59958EC7" w:rsidR="008E5870" w:rsidRDefault="008E5870" w:rsidP="720B1966"/>
          <w:p w14:paraId="59957F00" w14:textId="796E1747" w:rsidR="008E5870" w:rsidRDefault="507AD255" w:rsidP="720B1966">
            <w:pPr>
              <w:rPr>
                <w:i/>
                <w:iCs/>
              </w:rPr>
            </w:pPr>
            <w:r>
              <w:t xml:space="preserve">The vote for the changes to Area 2 and the additional parcels north of the Metrolink station was 7-0. </w:t>
            </w:r>
            <w:r w:rsidRPr="720B1966">
              <w:rPr>
                <w:i/>
                <w:iCs/>
              </w:rPr>
              <w:t>(Note that the Presentation will include a graphic of this area.)</w:t>
            </w:r>
          </w:p>
        </w:tc>
      </w:tr>
      <w:tr w:rsidR="008E5870" w14:paraId="46EF9A80" w14:textId="77777777" w:rsidTr="720B1966">
        <w:trPr>
          <w:gridAfter w:val="1"/>
          <w:wAfter w:w="27" w:type="dxa"/>
        </w:trPr>
        <w:tc>
          <w:tcPr>
            <w:tcW w:w="2785" w:type="dxa"/>
          </w:tcPr>
          <w:p w14:paraId="1899D6F3" w14:textId="6C3EAC61" w:rsidR="008E5870" w:rsidRDefault="005A4D49">
            <w:r>
              <w:t xml:space="preserve">1. </w:t>
            </w:r>
            <w:r w:rsidR="005F59E7" w:rsidRPr="005F59E7">
              <w:t>Johnson Drive</w:t>
            </w:r>
          </w:p>
        </w:tc>
        <w:tc>
          <w:tcPr>
            <w:tcW w:w="5220" w:type="dxa"/>
          </w:tcPr>
          <w:p w14:paraId="60D7D469" w14:textId="205DB197" w:rsidR="008E5870" w:rsidRPr="00471E5F" w:rsidRDefault="005F59E7" w:rsidP="005F59E7">
            <w:r w:rsidRPr="005F59E7">
              <w:t>Change to Mixed Use 4 (4 stories) from Commercial</w:t>
            </w:r>
          </w:p>
        </w:tc>
        <w:tc>
          <w:tcPr>
            <w:tcW w:w="2340" w:type="dxa"/>
            <w:shd w:val="clear" w:color="auto" w:fill="E2EFD9" w:themeFill="accent6" w:themeFillTint="33"/>
          </w:tcPr>
          <w:p w14:paraId="52FC9975" w14:textId="4FE3CDF5" w:rsidR="008E5870" w:rsidRDefault="00196F28">
            <w:r>
              <w:t>66.23%</w:t>
            </w:r>
          </w:p>
        </w:tc>
        <w:tc>
          <w:tcPr>
            <w:tcW w:w="2785" w:type="dxa"/>
            <w:vMerge/>
          </w:tcPr>
          <w:p w14:paraId="3F980B20" w14:textId="77777777" w:rsidR="008E5870" w:rsidRDefault="008E5870"/>
        </w:tc>
      </w:tr>
      <w:tr w:rsidR="008E5870" w14:paraId="66405FC1" w14:textId="77777777" w:rsidTr="720B1966">
        <w:trPr>
          <w:gridAfter w:val="1"/>
          <w:wAfter w:w="27" w:type="dxa"/>
        </w:trPr>
        <w:tc>
          <w:tcPr>
            <w:tcW w:w="2785" w:type="dxa"/>
          </w:tcPr>
          <w:p w14:paraId="68BFD89D" w14:textId="61800CD6" w:rsidR="008E5870" w:rsidRDefault="005A4D49">
            <w:r>
              <w:t xml:space="preserve">2. </w:t>
            </w:r>
            <w:r w:rsidR="00196F28" w:rsidRPr="00196F28">
              <w:t>General Industrial parcels South of the Metrolink Station</w:t>
            </w:r>
          </w:p>
        </w:tc>
        <w:tc>
          <w:tcPr>
            <w:tcW w:w="5220" w:type="dxa"/>
          </w:tcPr>
          <w:p w14:paraId="22E5F367" w14:textId="5DEE915E" w:rsidR="008E5870" w:rsidRPr="00471E5F" w:rsidRDefault="00196F28" w:rsidP="00196F28">
            <w:r w:rsidRPr="00196F28">
              <w:t>Change to Mixed Use 4 (4 stories) from General Industrial</w:t>
            </w:r>
          </w:p>
        </w:tc>
        <w:tc>
          <w:tcPr>
            <w:tcW w:w="2340" w:type="dxa"/>
            <w:shd w:val="clear" w:color="auto" w:fill="F7A09B"/>
          </w:tcPr>
          <w:p w14:paraId="6AB76D43" w14:textId="37E59089" w:rsidR="008E5870" w:rsidRDefault="00196F28">
            <w:r>
              <w:t>43.89%</w:t>
            </w:r>
          </w:p>
        </w:tc>
        <w:tc>
          <w:tcPr>
            <w:tcW w:w="2785" w:type="dxa"/>
            <w:vMerge/>
          </w:tcPr>
          <w:p w14:paraId="19E7A20C" w14:textId="77777777" w:rsidR="008E5870" w:rsidRDefault="008E5870"/>
        </w:tc>
      </w:tr>
      <w:tr w:rsidR="008E5870" w14:paraId="44675BE0" w14:textId="77777777" w:rsidTr="720B1966">
        <w:trPr>
          <w:gridAfter w:val="1"/>
          <w:wAfter w:w="27" w:type="dxa"/>
        </w:trPr>
        <w:tc>
          <w:tcPr>
            <w:tcW w:w="2785" w:type="dxa"/>
          </w:tcPr>
          <w:p w14:paraId="05EAEDBC" w14:textId="0DFD54F8" w:rsidR="008E5870" w:rsidRDefault="005A4D49">
            <w:r>
              <w:t xml:space="preserve">3. </w:t>
            </w:r>
            <w:r w:rsidR="00196F28" w:rsidRPr="00196F28">
              <w:t>Commercial parcels East of 101</w:t>
            </w:r>
          </w:p>
        </w:tc>
        <w:tc>
          <w:tcPr>
            <w:tcW w:w="5220" w:type="dxa"/>
          </w:tcPr>
          <w:p w14:paraId="20AEFA59" w14:textId="773BA454" w:rsidR="008E5870" w:rsidRPr="00471E5F" w:rsidRDefault="00196F28" w:rsidP="00196F28">
            <w:r w:rsidRPr="00196F28">
              <w:t>Change to Mixed Use 3 (3 stories) from Commercial</w:t>
            </w:r>
          </w:p>
        </w:tc>
        <w:tc>
          <w:tcPr>
            <w:tcW w:w="2340" w:type="dxa"/>
            <w:shd w:val="clear" w:color="auto" w:fill="F7A09B"/>
          </w:tcPr>
          <w:p w14:paraId="73C6F2E2" w14:textId="7CF7032D" w:rsidR="008E5870" w:rsidRDefault="00196F28">
            <w:r>
              <w:t>45</w:t>
            </w:r>
            <w:r w:rsidR="00055B22">
              <w:t>.00</w:t>
            </w:r>
            <w:r>
              <w:t>%</w:t>
            </w:r>
          </w:p>
        </w:tc>
        <w:tc>
          <w:tcPr>
            <w:tcW w:w="2785" w:type="dxa"/>
            <w:vMerge/>
          </w:tcPr>
          <w:p w14:paraId="3260BE0A" w14:textId="77777777" w:rsidR="008E5870" w:rsidRDefault="008E5870"/>
        </w:tc>
      </w:tr>
    </w:tbl>
    <w:p w14:paraId="128570A1" w14:textId="77777777" w:rsidR="0074034F" w:rsidRDefault="0074034F"/>
    <w:p w14:paraId="5FE38130" w14:textId="77777777" w:rsidR="00FF6150" w:rsidRDefault="00FF6150"/>
    <w:sectPr w:rsidR="00FF6150" w:rsidSect="00C7284B">
      <w:footerReference w:type="default" r:id="rId10"/>
      <w:pgSz w:w="15840" w:h="12240" w:orient="landscape" w:code="1"/>
      <w:pgMar w:top="1080" w:right="1080" w:bottom="90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D3FCC" w14:textId="77777777" w:rsidR="00FD7164" w:rsidRDefault="00FD7164" w:rsidP="00055B22">
      <w:pPr>
        <w:spacing w:after="0" w:line="240" w:lineRule="auto"/>
      </w:pPr>
      <w:r>
        <w:separator/>
      </w:r>
    </w:p>
  </w:endnote>
  <w:endnote w:type="continuationSeparator" w:id="0">
    <w:p w14:paraId="5DBD847F" w14:textId="77777777" w:rsidR="00FD7164" w:rsidRDefault="00FD7164" w:rsidP="00055B22">
      <w:pPr>
        <w:spacing w:after="0" w:line="240" w:lineRule="auto"/>
      </w:pPr>
      <w:r>
        <w:continuationSeparator/>
      </w:r>
    </w:p>
  </w:endnote>
  <w:endnote w:type="continuationNotice" w:id="1">
    <w:p w14:paraId="361F336F" w14:textId="77777777" w:rsidR="00FD7164" w:rsidRDefault="00FD7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6203229"/>
      <w:docPartObj>
        <w:docPartGallery w:val="Page Numbers (Bottom of Page)"/>
        <w:docPartUnique/>
      </w:docPartObj>
    </w:sdtPr>
    <w:sdtEndPr>
      <w:rPr>
        <w:noProof/>
      </w:rPr>
    </w:sdtEndPr>
    <w:sdtContent>
      <w:p w14:paraId="639717E7" w14:textId="38B78B45" w:rsidR="00055B22" w:rsidRDefault="00055B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255D3" w14:textId="77777777" w:rsidR="00055B22" w:rsidRDefault="0005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2DF7D" w14:textId="77777777" w:rsidR="00FD7164" w:rsidRDefault="00FD7164" w:rsidP="00055B22">
      <w:pPr>
        <w:spacing w:after="0" w:line="240" w:lineRule="auto"/>
      </w:pPr>
      <w:r>
        <w:separator/>
      </w:r>
    </w:p>
  </w:footnote>
  <w:footnote w:type="continuationSeparator" w:id="0">
    <w:p w14:paraId="465C6E1D" w14:textId="77777777" w:rsidR="00FD7164" w:rsidRDefault="00FD7164" w:rsidP="00055B22">
      <w:pPr>
        <w:spacing w:after="0" w:line="240" w:lineRule="auto"/>
      </w:pPr>
      <w:r>
        <w:continuationSeparator/>
      </w:r>
    </w:p>
  </w:footnote>
  <w:footnote w:type="continuationNotice" w:id="1">
    <w:p w14:paraId="0B3E402C" w14:textId="77777777" w:rsidR="00FD7164" w:rsidRDefault="00FD71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563C"/>
    <w:multiLevelType w:val="hybridMultilevel"/>
    <w:tmpl w:val="F97EF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96AB0"/>
    <w:multiLevelType w:val="hybridMultilevel"/>
    <w:tmpl w:val="FE26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56DC8"/>
    <w:multiLevelType w:val="hybridMultilevel"/>
    <w:tmpl w:val="053C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E7A78"/>
    <w:multiLevelType w:val="hybridMultilevel"/>
    <w:tmpl w:val="A484DECC"/>
    <w:lvl w:ilvl="0" w:tplc="E59882BA">
      <w:start w:val="1"/>
      <w:numFmt w:val="bullet"/>
      <w:lvlText w:val=""/>
      <w:lvlJc w:val="left"/>
      <w:pPr>
        <w:ind w:left="720" w:hanging="360"/>
      </w:pPr>
      <w:rPr>
        <w:rFonts w:ascii="Symbol" w:hAnsi="Symbol" w:hint="default"/>
      </w:rPr>
    </w:lvl>
    <w:lvl w:ilvl="1" w:tplc="78527B42">
      <w:start w:val="1"/>
      <w:numFmt w:val="bullet"/>
      <w:lvlText w:val="o"/>
      <w:lvlJc w:val="left"/>
      <w:pPr>
        <w:ind w:left="1440" w:hanging="360"/>
      </w:pPr>
      <w:rPr>
        <w:rFonts w:ascii="Courier New" w:hAnsi="Courier New" w:hint="default"/>
      </w:rPr>
    </w:lvl>
    <w:lvl w:ilvl="2" w:tplc="0472F696">
      <w:start w:val="1"/>
      <w:numFmt w:val="bullet"/>
      <w:lvlText w:val=""/>
      <w:lvlJc w:val="left"/>
      <w:pPr>
        <w:ind w:left="2160" w:hanging="360"/>
      </w:pPr>
      <w:rPr>
        <w:rFonts w:ascii="Wingdings" w:hAnsi="Wingdings" w:hint="default"/>
      </w:rPr>
    </w:lvl>
    <w:lvl w:ilvl="3" w:tplc="5E0AFB28">
      <w:start w:val="1"/>
      <w:numFmt w:val="bullet"/>
      <w:lvlText w:val=""/>
      <w:lvlJc w:val="left"/>
      <w:pPr>
        <w:ind w:left="2880" w:hanging="360"/>
      </w:pPr>
      <w:rPr>
        <w:rFonts w:ascii="Symbol" w:hAnsi="Symbol" w:hint="default"/>
      </w:rPr>
    </w:lvl>
    <w:lvl w:ilvl="4" w:tplc="DE54DDFA">
      <w:start w:val="1"/>
      <w:numFmt w:val="bullet"/>
      <w:lvlText w:val="o"/>
      <w:lvlJc w:val="left"/>
      <w:pPr>
        <w:ind w:left="3600" w:hanging="360"/>
      </w:pPr>
      <w:rPr>
        <w:rFonts w:ascii="Courier New" w:hAnsi="Courier New" w:hint="default"/>
      </w:rPr>
    </w:lvl>
    <w:lvl w:ilvl="5" w:tplc="6E1E0D52">
      <w:start w:val="1"/>
      <w:numFmt w:val="bullet"/>
      <w:lvlText w:val=""/>
      <w:lvlJc w:val="left"/>
      <w:pPr>
        <w:ind w:left="4320" w:hanging="360"/>
      </w:pPr>
      <w:rPr>
        <w:rFonts w:ascii="Wingdings" w:hAnsi="Wingdings" w:hint="default"/>
      </w:rPr>
    </w:lvl>
    <w:lvl w:ilvl="6" w:tplc="5C70C3F0">
      <w:start w:val="1"/>
      <w:numFmt w:val="bullet"/>
      <w:lvlText w:val=""/>
      <w:lvlJc w:val="left"/>
      <w:pPr>
        <w:ind w:left="5040" w:hanging="360"/>
      </w:pPr>
      <w:rPr>
        <w:rFonts w:ascii="Symbol" w:hAnsi="Symbol" w:hint="default"/>
      </w:rPr>
    </w:lvl>
    <w:lvl w:ilvl="7" w:tplc="4D74AEBA">
      <w:start w:val="1"/>
      <w:numFmt w:val="bullet"/>
      <w:lvlText w:val="o"/>
      <w:lvlJc w:val="left"/>
      <w:pPr>
        <w:ind w:left="5760" w:hanging="360"/>
      </w:pPr>
      <w:rPr>
        <w:rFonts w:ascii="Courier New" w:hAnsi="Courier New" w:hint="default"/>
      </w:rPr>
    </w:lvl>
    <w:lvl w:ilvl="8" w:tplc="B56A191C">
      <w:start w:val="1"/>
      <w:numFmt w:val="bullet"/>
      <w:lvlText w:val=""/>
      <w:lvlJc w:val="left"/>
      <w:pPr>
        <w:ind w:left="6480" w:hanging="360"/>
      </w:pPr>
      <w:rPr>
        <w:rFonts w:ascii="Wingdings" w:hAnsi="Wingdings" w:hint="default"/>
      </w:rPr>
    </w:lvl>
  </w:abstractNum>
  <w:abstractNum w:abstractNumId="4" w15:restartNumberingAfterBreak="0">
    <w:nsid w:val="48C609AF"/>
    <w:multiLevelType w:val="hybridMultilevel"/>
    <w:tmpl w:val="2A2A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25C09"/>
    <w:multiLevelType w:val="hybridMultilevel"/>
    <w:tmpl w:val="3BAEF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525A4B"/>
    <w:multiLevelType w:val="hybridMultilevel"/>
    <w:tmpl w:val="91CE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337577">
    <w:abstractNumId w:val="3"/>
  </w:num>
  <w:num w:numId="2" w16cid:durableId="213007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82607">
    <w:abstractNumId w:val="4"/>
  </w:num>
  <w:num w:numId="4" w16cid:durableId="828403087">
    <w:abstractNumId w:val="6"/>
  </w:num>
  <w:num w:numId="5" w16cid:durableId="1296837521">
    <w:abstractNumId w:val="2"/>
  </w:num>
  <w:num w:numId="6" w16cid:durableId="1779716244">
    <w:abstractNumId w:val="1"/>
  </w:num>
  <w:num w:numId="7" w16cid:durableId="64894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3tzC1MLM0NDE0NjdS0lEKTi0uzszPAykwrAUAmHyZqCwAAAA="/>
  </w:docVars>
  <w:rsids>
    <w:rsidRoot w:val="00471E5F"/>
    <w:rsid w:val="00015E29"/>
    <w:rsid w:val="00055318"/>
    <w:rsid w:val="00055B22"/>
    <w:rsid w:val="000B125B"/>
    <w:rsid w:val="000D2036"/>
    <w:rsid w:val="00111604"/>
    <w:rsid w:val="00196F28"/>
    <w:rsid w:val="0027607D"/>
    <w:rsid w:val="003208D7"/>
    <w:rsid w:val="003317F9"/>
    <w:rsid w:val="003C4D10"/>
    <w:rsid w:val="00464FD2"/>
    <w:rsid w:val="00471E5F"/>
    <w:rsid w:val="00485C45"/>
    <w:rsid w:val="005359EE"/>
    <w:rsid w:val="005A0FB4"/>
    <w:rsid w:val="005A4D49"/>
    <w:rsid w:val="005D1C12"/>
    <w:rsid w:val="005D44CF"/>
    <w:rsid w:val="005F59E7"/>
    <w:rsid w:val="006D10FD"/>
    <w:rsid w:val="006E730E"/>
    <w:rsid w:val="00736E87"/>
    <w:rsid w:val="0074034F"/>
    <w:rsid w:val="007426D3"/>
    <w:rsid w:val="007A79B0"/>
    <w:rsid w:val="008E5870"/>
    <w:rsid w:val="009C67B6"/>
    <w:rsid w:val="009D4FF9"/>
    <w:rsid w:val="00A3106B"/>
    <w:rsid w:val="00A42A6D"/>
    <w:rsid w:val="00A835A1"/>
    <w:rsid w:val="00AC3D4E"/>
    <w:rsid w:val="00B56DDA"/>
    <w:rsid w:val="00BF4207"/>
    <w:rsid w:val="00C17E83"/>
    <w:rsid w:val="00C7284B"/>
    <w:rsid w:val="00D74D7A"/>
    <w:rsid w:val="00D75F66"/>
    <w:rsid w:val="00DB2DED"/>
    <w:rsid w:val="00E258AA"/>
    <w:rsid w:val="00F366B4"/>
    <w:rsid w:val="00FD7164"/>
    <w:rsid w:val="00FE1A7B"/>
    <w:rsid w:val="00FF6150"/>
    <w:rsid w:val="015BF949"/>
    <w:rsid w:val="046D7DA0"/>
    <w:rsid w:val="0CDE262E"/>
    <w:rsid w:val="0E1E3B30"/>
    <w:rsid w:val="0E256211"/>
    <w:rsid w:val="0F773D32"/>
    <w:rsid w:val="12E1FD61"/>
    <w:rsid w:val="13D1A99C"/>
    <w:rsid w:val="1506AE31"/>
    <w:rsid w:val="165D58C0"/>
    <w:rsid w:val="16743BF5"/>
    <w:rsid w:val="17C52CAD"/>
    <w:rsid w:val="1CC79F23"/>
    <w:rsid w:val="1F0BD701"/>
    <w:rsid w:val="217B4AA5"/>
    <w:rsid w:val="21E16371"/>
    <w:rsid w:val="21EF710C"/>
    <w:rsid w:val="23471F5F"/>
    <w:rsid w:val="266597C4"/>
    <w:rsid w:val="27AC522D"/>
    <w:rsid w:val="283FE977"/>
    <w:rsid w:val="294931CF"/>
    <w:rsid w:val="2D7B3F0A"/>
    <w:rsid w:val="2FFA4314"/>
    <w:rsid w:val="2FFC9561"/>
    <w:rsid w:val="3318BB79"/>
    <w:rsid w:val="3405B99D"/>
    <w:rsid w:val="395F5599"/>
    <w:rsid w:val="3C198A84"/>
    <w:rsid w:val="3ECE2147"/>
    <w:rsid w:val="3F4A558B"/>
    <w:rsid w:val="40E625EC"/>
    <w:rsid w:val="429C69C9"/>
    <w:rsid w:val="4885621F"/>
    <w:rsid w:val="490F3B3C"/>
    <w:rsid w:val="4A28EEBD"/>
    <w:rsid w:val="4BB5B16C"/>
    <w:rsid w:val="4C47D897"/>
    <w:rsid w:val="4E5034FE"/>
    <w:rsid w:val="507AD255"/>
    <w:rsid w:val="5A414FF2"/>
    <w:rsid w:val="5C16544E"/>
    <w:rsid w:val="5E49906B"/>
    <w:rsid w:val="5F0E4993"/>
    <w:rsid w:val="60312954"/>
    <w:rsid w:val="62711A33"/>
    <w:rsid w:val="6672A177"/>
    <w:rsid w:val="67E9CE65"/>
    <w:rsid w:val="68F0C36D"/>
    <w:rsid w:val="6BF33174"/>
    <w:rsid w:val="6BF4BA21"/>
    <w:rsid w:val="6BF70C6E"/>
    <w:rsid w:val="6C5159B9"/>
    <w:rsid w:val="711C31FB"/>
    <w:rsid w:val="71BC3CB3"/>
    <w:rsid w:val="720B1966"/>
    <w:rsid w:val="731B9F79"/>
    <w:rsid w:val="738CA602"/>
    <w:rsid w:val="75BE6F9C"/>
    <w:rsid w:val="7645A213"/>
    <w:rsid w:val="7797E219"/>
    <w:rsid w:val="77ABC5BC"/>
    <w:rsid w:val="783D66B1"/>
    <w:rsid w:val="7B98D34F"/>
    <w:rsid w:val="7BD4E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162F"/>
  <w15:chartTrackingRefBased/>
  <w15:docId w15:val="{1B3A15DC-C900-455C-B92C-6AF75FE1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F6150"/>
    <w:pPr>
      <w:spacing w:after="0" w:line="240" w:lineRule="auto"/>
    </w:pPr>
    <w:rPr>
      <w:rFonts w:eastAsia="Times New Roman"/>
      <w:kern w:val="0"/>
      <w:sz w:val="21"/>
      <w:szCs w:val="21"/>
      <w14:ligatures w14:val="none"/>
    </w:rPr>
    <w:tblPr>
      <w:tblInd w:w="0" w:type="nil"/>
      <w:tblBorders>
        <w:top w:val="single" w:sz="4" w:space="0" w:color="FF8C03"/>
        <w:left w:val="single" w:sz="4" w:space="0" w:color="FF8C03"/>
        <w:bottom w:val="single" w:sz="4" w:space="0" w:color="FF8C03"/>
        <w:right w:val="single" w:sz="4" w:space="0" w:color="FF8C03"/>
        <w:insideH w:val="single" w:sz="4" w:space="0" w:color="FF8C03"/>
        <w:insideV w:val="single" w:sz="4" w:space="0" w:color="FF8C03"/>
      </w:tblBorders>
    </w:tblPr>
  </w:style>
  <w:style w:type="table" w:styleId="TableGridLight">
    <w:name w:val="Grid Table Light"/>
    <w:basedOn w:val="TableNormal"/>
    <w:uiPriority w:val="40"/>
    <w:rsid w:val="00FF61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FF6150"/>
    <w:pPr>
      <w:spacing w:before="360" w:after="240" w:line="240" w:lineRule="auto"/>
    </w:pPr>
    <w:rPr>
      <w:rFonts w:ascii="Corbel" w:hAnsi="Corbel" w:cs="Open Sans"/>
      <w:b/>
      <w:bCs/>
      <w:iCs/>
      <w:color w:val="000000" w:themeColor="text1"/>
      <w:kern w:val="0"/>
      <w14:ligatures w14:val="none"/>
    </w:rPr>
  </w:style>
  <w:style w:type="paragraph" w:styleId="ListParagraph">
    <w:name w:val="List Paragraph"/>
    <w:basedOn w:val="Normal"/>
    <w:uiPriority w:val="34"/>
    <w:qFormat/>
    <w:rsid w:val="00FF6150"/>
    <w:pPr>
      <w:ind w:left="720"/>
      <w:contextualSpacing/>
    </w:pPr>
  </w:style>
  <w:style w:type="paragraph" w:styleId="Header">
    <w:name w:val="header"/>
    <w:basedOn w:val="Normal"/>
    <w:link w:val="HeaderChar"/>
    <w:uiPriority w:val="99"/>
    <w:unhideWhenUsed/>
    <w:rsid w:val="00055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22"/>
  </w:style>
  <w:style w:type="paragraph" w:styleId="Footer">
    <w:name w:val="footer"/>
    <w:basedOn w:val="Normal"/>
    <w:link w:val="FooterChar"/>
    <w:uiPriority w:val="99"/>
    <w:unhideWhenUsed/>
    <w:rsid w:val="00055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22"/>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5C45"/>
    <w:rPr>
      <w:b/>
      <w:bCs/>
    </w:rPr>
  </w:style>
  <w:style w:type="character" w:customStyle="1" w:styleId="CommentSubjectChar">
    <w:name w:val="Comment Subject Char"/>
    <w:basedOn w:val="CommentTextChar"/>
    <w:link w:val="CommentSubject"/>
    <w:uiPriority w:val="99"/>
    <w:semiHidden/>
    <w:rsid w:val="00485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208140">
      <w:bodyDiv w:val="1"/>
      <w:marLeft w:val="0"/>
      <w:marRight w:val="0"/>
      <w:marTop w:val="0"/>
      <w:marBottom w:val="0"/>
      <w:divBdr>
        <w:top w:val="none" w:sz="0" w:space="0" w:color="auto"/>
        <w:left w:val="none" w:sz="0" w:space="0" w:color="auto"/>
        <w:bottom w:val="none" w:sz="0" w:space="0" w:color="auto"/>
        <w:right w:val="none" w:sz="0" w:space="0" w:color="auto"/>
      </w:divBdr>
    </w:div>
    <w:div w:id="16827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7F1033B26464BBECEF0CBF8F011FC" ma:contentTypeVersion="17" ma:contentTypeDescription="Create a new document." ma:contentTypeScope="" ma:versionID="2758eaf766341083945d4ec416baf69a">
  <xsd:schema xmlns:xsd="http://www.w3.org/2001/XMLSchema" xmlns:xs="http://www.w3.org/2001/XMLSchema" xmlns:p="http://schemas.microsoft.com/office/2006/metadata/properties" xmlns:ns2="d65b3163-a8b3-4126-bf06-73ff2efe63c7" xmlns:ns3="3eb450f8-2987-44d4-a68b-5eaa1e3043c6" targetNamespace="http://schemas.microsoft.com/office/2006/metadata/properties" ma:root="true" ma:fieldsID="b7f0cc926509ff6444f91e6bd4251899" ns2:_="" ns3:_="">
    <xsd:import namespace="d65b3163-a8b3-4126-bf06-73ff2efe63c7"/>
    <xsd:import namespace="3eb450f8-2987-44d4-a68b-5eaa1e304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b3163-a8b3-4126-bf06-73ff2efe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459e2c-04f5-46dd-af61-77595c731c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450f8-2987-44d4-a68b-5eaa1e304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ae0c80a-5a8d-43f7-8715-b9debfc98ad2}" ma:internalName="TaxCatchAll" ma:showField="CatchAllData" ma:web="3eb450f8-2987-44d4-a68b-5eaa1e304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b450f8-2987-44d4-a68b-5eaa1e3043c6" xsi:nil="true"/>
    <lcf76f155ced4ddcb4097134ff3c332f xmlns="d65b3163-a8b3-4126-bf06-73ff2efe63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A7F66E-2FB2-4562-BD78-FDD4E3B5AA2B}">
  <ds:schemaRefs>
    <ds:schemaRef ds:uri="http://schemas.microsoft.com/sharepoint/v3/contenttype/forms"/>
  </ds:schemaRefs>
</ds:datastoreItem>
</file>

<file path=customXml/itemProps2.xml><?xml version="1.0" encoding="utf-8"?>
<ds:datastoreItem xmlns:ds="http://schemas.openxmlformats.org/officeDocument/2006/customXml" ds:itemID="{3B2B755E-6406-428F-886F-360D8653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b3163-a8b3-4126-bf06-73ff2efe63c7"/>
    <ds:schemaRef ds:uri="3eb450f8-2987-44d4-a68b-5eaa1e30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075BE-21D9-409C-9AA6-404BF78B813E}">
  <ds:schemaRefs>
    <ds:schemaRef ds:uri="http://schemas.microsoft.com/office/2006/metadata/properties"/>
    <ds:schemaRef ds:uri="http://schemas.microsoft.com/office/infopath/2007/PartnerControls"/>
    <ds:schemaRef ds:uri="3eb450f8-2987-44d4-a68b-5eaa1e3043c6"/>
    <ds:schemaRef ds:uri="d65b3163-a8b3-4126-bf06-73ff2efe63c7"/>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1852</Words>
  <Characters>10563</Characters>
  <Application>Microsoft Office Word</Application>
  <DocSecurity>4</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Raimi</dc:creator>
  <cp:keywords/>
  <dc:description/>
  <cp:lastModifiedBy>Matthew Raimi</cp:lastModifiedBy>
  <cp:revision>30</cp:revision>
  <dcterms:created xsi:type="dcterms:W3CDTF">2023-08-16T21:38:00Z</dcterms:created>
  <dcterms:modified xsi:type="dcterms:W3CDTF">2023-09-01T20:37:00Z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0x01010040D7F1033B26464BBECEF0CBF8F011FC</vt:lpwstr>
  </property>
  <property fmtid="{D5CDD505-2E9C-101B-9397-08002B2CF9AE}" pid="3" name="MediaServiceImageTags">
    <vt:lpwstr/>
  </property>
</Properties>
</file>